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716CF1" w:rsidP="00716CF1" w14:paraId="3DD1A8B0" w14:textId="77777777">
      <w:pPr>
        <w:pStyle w:val="MediumGrid1-Accent21"/>
        <w:ind w:left="0"/>
        <w:outlineLvl w:val="0"/>
        <w:rPr>
          <w:b/>
        </w:rPr>
      </w:pPr>
    </w:p>
    <w:p w:rsidR="00716CF1" w:rsidRPr="00671BBA" w:rsidP="00716CF1" w14:paraId="3DD1A8B1" w14:textId="77777777">
      <w:pPr>
        <w:pStyle w:val="MediumGrid1-Accent21"/>
        <w:numPr>
          <w:ilvl w:val="0"/>
          <w:numId w:val="5"/>
        </w:numPr>
        <w:outlineLvl w:val="0"/>
        <w:rPr>
          <w:b/>
        </w:rPr>
      </w:pPr>
      <w:bookmarkStart w:id="0" w:name="_Toc476202276"/>
      <w:r>
        <w:rPr>
          <w:b/>
        </w:rPr>
        <w:t>PURPOSE</w:t>
      </w:r>
      <w:bookmarkEnd w:id="0"/>
    </w:p>
    <w:p w:rsidR="00716CF1" w:rsidP="00716CF1" w14:paraId="3DD1A8B2" w14:textId="77777777">
      <w:pPr>
        <w:pStyle w:val="MediumGrid1-Accent21"/>
      </w:pPr>
    </w:p>
    <w:p w:rsidR="00716CF1" w:rsidP="00716CF1" w14:paraId="3DD1A8B3" w14:textId="77777777">
      <w:pPr>
        <w:pStyle w:val="MediumGrid1-Accent21"/>
        <w:spacing w:before="240" w:after="240"/>
        <w:jc w:val="both"/>
        <w:rPr>
          <w:rFonts w:cs="Arial"/>
        </w:rPr>
      </w:pPr>
      <w:r>
        <w:rPr>
          <w:rFonts w:cs="Arial"/>
        </w:rPr>
        <w:t>Human pluripotent stem (hPS) cell research holds great promise for finding new treatment options for</w:t>
      </w:r>
      <w:r w:rsidRPr="008D45D5">
        <w:rPr>
          <w:rFonts w:cs="Arial"/>
        </w:rPr>
        <w:t xml:space="preserve"> </w:t>
      </w:r>
      <w:r>
        <w:rPr>
          <w:rFonts w:cs="Arial"/>
        </w:rPr>
        <w:t xml:space="preserve">a wide range of </w:t>
      </w:r>
      <w:r w:rsidRPr="008D45D5">
        <w:rPr>
          <w:rFonts w:cs="Arial"/>
        </w:rPr>
        <w:t>diseases, conditions, and disabilities.</w:t>
      </w:r>
      <w:r>
        <w:rPr>
          <w:rFonts w:cs="Arial"/>
        </w:rPr>
        <w:t xml:space="preserve"> MUSC</w:t>
      </w:r>
      <w:r w:rsidRPr="002A519B">
        <w:rPr>
          <w:rFonts w:cs="Arial"/>
        </w:rPr>
        <w:t xml:space="preserve"> encourages the use and derivation of </w:t>
      </w:r>
      <w:r>
        <w:rPr>
          <w:rFonts w:cs="Arial"/>
        </w:rPr>
        <w:t>hPS</w:t>
      </w:r>
      <w:r>
        <w:rPr>
          <w:rFonts w:cs="Arial"/>
        </w:rPr>
        <w:t xml:space="preserve"> cells (including human</w:t>
      </w:r>
      <w:r w:rsidRPr="002A519B">
        <w:rPr>
          <w:rFonts w:cs="Arial"/>
        </w:rPr>
        <w:t xml:space="preserve"> embryonic stem (hES)</w:t>
      </w:r>
      <w:r>
        <w:rPr>
          <w:rFonts w:cs="Arial"/>
        </w:rPr>
        <w:t xml:space="preserve"> </w:t>
      </w:r>
      <w:r w:rsidRPr="002A519B">
        <w:rPr>
          <w:rFonts w:cs="Arial"/>
        </w:rPr>
        <w:t xml:space="preserve">cells, human pluripotent </w:t>
      </w:r>
      <w:r>
        <w:rPr>
          <w:rFonts w:cs="Arial"/>
        </w:rPr>
        <w:t xml:space="preserve">stem </w:t>
      </w:r>
      <w:r w:rsidRPr="002A519B">
        <w:rPr>
          <w:rFonts w:cs="Arial"/>
        </w:rPr>
        <w:t>cells, human</w:t>
      </w:r>
      <w:r>
        <w:rPr>
          <w:rFonts w:cs="Arial"/>
        </w:rPr>
        <w:t xml:space="preserve"> induced</w:t>
      </w:r>
      <w:r w:rsidRPr="002A519B">
        <w:rPr>
          <w:rFonts w:cs="Arial"/>
        </w:rPr>
        <w:t xml:space="preserve"> pluripotent stem cell lines, human neural and gonadal progenitor stem cells, and other human </w:t>
      </w:r>
      <w:r>
        <w:rPr>
          <w:rFonts w:cs="Arial"/>
        </w:rPr>
        <w:t>multi</w:t>
      </w:r>
      <w:r w:rsidRPr="002A519B">
        <w:rPr>
          <w:rFonts w:cs="Arial"/>
        </w:rPr>
        <w:t>potent stem cells</w:t>
      </w:r>
      <w:r>
        <w:rPr>
          <w:rFonts w:cs="Arial"/>
        </w:rPr>
        <w:t>)</w:t>
      </w:r>
      <w:r w:rsidRPr="002A519B">
        <w:rPr>
          <w:rFonts w:cs="Arial"/>
        </w:rPr>
        <w:t>, provided the cells and cell lines are obta</w:t>
      </w:r>
      <w:r w:rsidRPr="002A519B">
        <w:rPr>
          <w:rFonts w:cs="Arial"/>
        </w:rPr>
        <w:t xml:space="preserve">ined and the research is conducted </w:t>
      </w:r>
      <w:r>
        <w:rPr>
          <w:rFonts w:cs="Arial"/>
        </w:rPr>
        <w:t xml:space="preserve">ethically, responsibly, and </w:t>
      </w:r>
      <w:r w:rsidRPr="002A519B">
        <w:rPr>
          <w:rFonts w:cs="Arial"/>
        </w:rPr>
        <w:t>with appropriate oversight and in accordance with all applicable laws, rules</w:t>
      </w:r>
      <w:r>
        <w:rPr>
          <w:rFonts w:cs="Arial"/>
        </w:rPr>
        <w:t>, guidelines,</w:t>
      </w:r>
      <w:r w:rsidRPr="002A519B">
        <w:rPr>
          <w:rFonts w:cs="Arial"/>
        </w:rPr>
        <w:t xml:space="preserve"> and regulations. </w:t>
      </w:r>
    </w:p>
    <w:p w:rsidR="00716CF1" w:rsidP="00716CF1" w14:paraId="3DD1A8B4" w14:textId="77777777">
      <w:pPr>
        <w:pStyle w:val="MediumGrid1-Accent21"/>
        <w:spacing w:before="240" w:after="240"/>
        <w:jc w:val="both"/>
        <w:rPr>
          <w:rFonts w:cs="Arial"/>
        </w:rPr>
      </w:pPr>
      <w:r w:rsidRPr="002A519B">
        <w:rPr>
          <w:rFonts w:cs="Arial"/>
        </w:rPr>
        <w:t xml:space="preserve"> </w:t>
      </w:r>
    </w:p>
    <w:p w:rsidR="00716CF1" w:rsidP="00716CF1" w14:paraId="3DD1A8B5" w14:textId="77777777">
      <w:pPr>
        <w:pStyle w:val="MediumGrid1-Accent21"/>
        <w:spacing w:before="240" w:after="240"/>
        <w:jc w:val="both"/>
        <w:rPr>
          <w:rFonts w:cs="Arial"/>
        </w:rPr>
      </w:pPr>
      <w:r w:rsidRPr="00801EEE">
        <w:rPr>
          <w:rFonts w:cs="Arial"/>
        </w:rPr>
        <w:t xml:space="preserve">This policy </w:t>
      </w:r>
      <w:r>
        <w:rPr>
          <w:rFonts w:cs="Arial"/>
        </w:rPr>
        <w:t>applies to</w:t>
      </w:r>
      <w:r w:rsidRPr="00801EEE">
        <w:rPr>
          <w:rFonts w:cs="Arial"/>
        </w:rPr>
        <w:t xml:space="preserve"> all research involving the derivation or use of human</w:t>
      </w:r>
      <w:r>
        <w:rPr>
          <w:rFonts w:cs="Arial"/>
        </w:rPr>
        <w:t xml:space="preserve"> </w:t>
      </w:r>
      <w:r w:rsidRPr="00801EEE">
        <w:rPr>
          <w:rFonts w:cs="Arial"/>
        </w:rPr>
        <w:t>plurip</w:t>
      </w:r>
      <w:r w:rsidRPr="00801EEE">
        <w:rPr>
          <w:rFonts w:cs="Arial"/>
        </w:rPr>
        <w:t xml:space="preserve">otent stem cells at </w:t>
      </w:r>
      <w:r>
        <w:rPr>
          <w:rFonts w:cs="Arial"/>
        </w:rPr>
        <w:t>MUSC, to help ensure that such research</w:t>
      </w:r>
      <w:r w:rsidRPr="00801EEE">
        <w:rPr>
          <w:rFonts w:cs="Arial"/>
        </w:rPr>
        <w:t xml:space="preserve"> is conducted with the highest ethical and</w:t>
      </w:r>
      <w:r>
        <w:rPr>
          <w:rFonts w:cs="Arial"/>
        </w:rPr>
        <w:t xml:space="preserve"> </w:t>
      </w:r>
      <w:r w:rsidRPr="00801EEE">
        <w:rPr>
          <w:rFonts w:cs="Arial"/>
        </w:rPr>
        <w:t>scientific research standards, and in compliance with all applicable federal and state</w:t>
      </w:r>
      <w:r>
        <w:rPr>
          <w:rFonts w:cs="Arial"/>
        </w:rPr>
        <w:t xml:space="preserve"> </w:t>
      </w:r>
      <w:r w:rsidRPr="00801EEE">
        <w:rPr>
          <w:rFonts w:cs="Arial"/>
        </w:rPr>
        <w:t xml:space="preserve">regulations, </w:t>
      </w:r>
      <w:r>
        <w:rPr>
          <w:rFonts w:cs="Arial"/>
        </w:rPr>
        <w:t>MUSC</w:t>
      </w:r>
      <w:r w:rsidRPr="00801EEE">
        <w:rPr>
          <w:rFonts w:cs="Arial"/>
        </w:rPr>
        <w:t xml:space="preserve"> policies, and the requirements of extramural rese</w:t>
      </w:r>
      <w:r w:rsidRPr="00801EEE">
        <w:rPr>
          <w:rFonts w:cs="Arial"/>
        </w:rPr>
        <w:t>arch sponsors.</w:t>
      </w:r>
      <w:r>
        <w:rPr>
          <w:rFonts w:cs="Arial"/>
        </w:rPr>
        <w:t xml:space="preserve"> Since the field of human stem cell research is rapidly changing, not </w:t>
      </w:r>
      <w:r w:rsidRPr="00042C9B">
        <w:rPr>
          <w:rFonts w:cs="Arial"/>
        </w:rPr>
        <w:t xml:space="preserve">all conceivable </w:t>
      </w:r>
      <w:r>
        <w:rPr>
          <w:rFonts w:cs="Arial"/>
        </w:rPr>
        <w:t>research</w:t>
      </w:r>
      <w:r w:rsidRPr="00042C9B">
        <w:rPr>
          <w:rFonts w:cs="Arial"/>
        </w:rPr>
        <w:t xml:space="preserve"> involving </w:t>
      </w:r>
      <w:r>
        <w:rPr>
          <w:rFonts w:cs="Arial"/>
        </w:rPr>
        <w:t xml:space="preserve">human stem cells can </w:t>
      </w:r>
      <w:r w:rsidRPr="00042C9B">
        <w:rPr>
          <w:rFonts w:cs="Arial"/>
        </w:rPr>
        <w:t xml:space="preserve">be foreseen. Therefore, it is the responsibility </w:t>
      </w:r>
      <w:r>
        <w:rPr>
          <w:rFonts w:cs="Arial"/>
        </w:rPr>
        <w:t>of those deriving or using hPS cells to</w:t>
      </w:r>
      <w:r w:rsidRPr="00042C9B">
        <w:rPr>
          <w:rFonts w:cs="Arial"/>
        </w:rPr>
        <w:t xml:space="preserve"> adhere </w:t>
      </w:r>
      <w:r>
        <w:rPr>
          <w:rFonts w:cs="Arial"/>
        </w:rPr>
        <w:t>to the intent of thi</w:t>
      </w:r>
      <w:r>
        <w:rPr>
          <w:rFonts w:cs="Arial"/>
        </w:rPr>
        <w:t xml:space="preserve">s policy, </w:t>
      </w:r>
      <w:r w:rsidRPr="00042C9B">
        <w:rPr>
          <w:rFonts w:cs="Arial"/>
        </w:rPr>
        <w:t xml:space="preserve">as well as to </w:t>
      </w:r>
      <w:r>
        <w:rPr>
          <w:rFonts w:cs="Arial"/>
        </w:rPr>
        <w:t>its</w:t>
      </w:r>
      <w:r w:rsidRPr="00042C9B">
        <w:rPr>
          <w:rFonts w:cs="Arial"/>
        </w:rPr>
        <w:t xml:space="preserve"> specifics.</w:t>
      </w:r>
    </w:p>
    <w:p w:rsidR="00716CF1" w:rsidP="00716CF1" w14:paraId="3DD1A8B6" w14:textId="77777777">
      <w:pPr>
        <w:pStyle w:val="MediumGrid1-Accent21"/>
        <w:spacing w:before="240" w:after="240"/>
        <w:ind w:left="900"/>
        <w:jc w:val="both"/>
        <w:rPr>
          <w:rFonts w:cs="Arial"/>
        </w:rPr>
      </w:pPr>
    </w:p>
    <w:p w:rsidR="00716CF1" w:rsidP="00716CF1" w14:paraId="3DD1A8B7" w14:textId="77777777">
      <w:pPr>
        <w:pStyle w:val="MediumGrid1-Accent21"/>
        <w:spacing w:before="240" w:after="240"/>
        <w:jc w:val="both"/>
        <w:rPr>
          <w:rFonts w:cs="Arial"/>
        </w:rPr>
      </w:pPr>
      <w:r>
        <w:rPr>
          <w:rFonts w:cs="Arial"/>
        </w:rPr>
        <w:t>MUSC’s</w:t>
      </w:r>
      <w:r w:rsidRPr="00B631B4">
        <w:rPr>
          <w:rFonts w:cs="Arial"/>
        </w:rPr>
        <w:t xml:space="preserve"> Stem Cell Research</w:t>
      </w:r>
      <w:r>
        <w:rPr>
          <w:rFonts w:cs="Arial"/>
        </w:rPr>
        <w:t xml:space="preserve"> Advisory Committee (hereafter </w:t>
      </w:r>
      <w:r w:rsidRPr="00B631B4">
        <w:rPr>
          <w:rFonts w:cs="Arial"/>
        </w:rPr>
        <w:t xml:space="preserve">“Committee” or “SCRO Committee”) provides </w:t>
      </w:r>
      <w:r>
        <w:rPr>
          <w:rFonts w:cs="Arial"/>
        </w:rPr>
        <w:t>a recommendation to the Vice President for Research</w:t>
      </w:r>
      <w:r w:rsidRPr="0097243D">
        <w:rPr>
          <w:rFonts w:cs="Arial"/>
        </w:rPr>
        <w:t xml:space="preserve"> </w:t>
      </w:r>
      <w:r>
        <w:rPr>
          <w:rFonts w:cs="Arial"/>
        </w:rPr>
        <w:t xml:space="preserve">regarding research involving hPSCs </w:t>
      </w:r>
      <w:r w:rsidRPr="00B631B4">
        <w:rPr>
          <w:rFonts w:cs="Arial"/>
        </w:rPr>
        <w:t>and materials related to</w:t>
      </w:r>
      <w:r>
        <w:rPr>
          <w:rFonts w:cs="Arial"/>
        </w:rPr>
        <w:t xml:space="preserve"> </w:t>
      </w:r>
      <w:r w:rsidRPr="00B631B4">
        <w:rPr>
          <w:rFonts w:cs="Arial"/>
        </w:rPr>
        <w:t xml:space="preserve">their </w:t>
      </w:r>
      <w:r w:rsidRPr="00B631B4">
        <w:rPr>
          <w:rFonts w:cs="Arial"/>
        </w:rPr>
        <w:t xml:space="preserve">derivation and use. The SCRO Committee conducts itself in consideration of the </w:t>
      </w:r>
      <w:r>
        <w:t>2010 Amendments to the National Academies’ Guidelines for Human Embryonic Stem Cell Research and the latest version of the international voluntary standards written by the Inter</w:t>
      </w:r>
      <w:r>
        <w:t xml:space="preserve">national Society for Stem Cell Research (ISSCR), </w:t>
      </w:r>
      <w:r w:rsidRPr="00B631B4">
        <w:rPr>
          <w:rFonts w:cs="Arial"/>
        </w:rPr>
        <w:t>as well as in compliance with federal, state, and</w:t>
      </w:r>
      <w:r>
        <w:rPr>
          <w:rFonts w:cs="Arial"/>
        </w:rPr>
        <w:t xml:space="preserve"> </w:t>
      </w:r>
      <w:r w:rsidRPr="00B631B4">
        <w:rPr>
          <w:rFonts w:cs="Arial"/>
        </w:rPr>
        <w:t>local requirements</w:t>
      </w:r>
      <w:r>
        <w:rPr>
          <w:rFonts w:cs="Arial"/>
        </w:rPr>
        <w:t xml:space="preserve"> (See Section X References)</w:t>
      </w:r>
      <w:r w:rsidRPr="00B631B4">
        <w:rPr>
          <w:rFonts w:cs="Arial"/>
        </w:rPr>
        <w:t xml:space="preserve">. </w:t>
      </w:r>
    </w:p>
    <w:p w:rsidR="00716CF1" w:rsidP="00716CF1" w14:paraId="3DD1A8B8" w14:textId="77777777">
      <w:pPr>
        <w:pStyle w:val="MediumGrid1-Accent21"/>
        <w:spacing w:before="240" w:after="240"/>
        <w:ind w:left="900"/>
        <w:jc w:val="both"/>
        <w:rPr>
          <w:rFonts w:cs="Arial"/>
        </w:rPr>
      </w:pPr>
    </w:p>
    <w:p w:rsidR="00716CF1" w:rsidP="00716CF1" w14:paraId="3DD1A8B9" w14:textId="77777777">
      <w:pPr>
        <w:pStyle w:val="MediumGrid1-Accent21"/>
        <w:spacing w:before="240" w:after="240"/>
        <w:jc w:val="both"/>
        <w:rPr>
          <w:rFonts w:cs="Arial"/>
        </w:rPr>
      </w:pPr>
      <w:r>
        <w:rPr>
          <w:rFonts w:cs="Arial"/>
        </w:rPr>
        <w:t>In addition, the SCRO Committee f</w:t>
      </w:r>
      <w:r w:rsidRPr="0054521F">
        <w:rPr>
          <w:rFonts w:cs="Arial"/>
        </w:rPr>
        <w:t>acilitate</w:t>
      </w:r>
      <w:r>
        <w:rPr>
          <w:rFonts w:cs="Arial"/>
        </w:rPr>
        <w:t>s</w:t>
      </w:r>
      <w:r w:rsidRPr="0054521F">
        <w:rPr>
          <w:rFonts w:cs="Arial"/>
        </w:rPr>
        <w:t xml:space="preserve"> </w:t>
      </w:r>
      <w:r>
        <w:rPr>
          <w:rFonts w:cs="Arial"/>
        </w:rPr>
        <w:t>greater understanding of hPS</w:t>
      </w:r>
      <w:r>
        <w:rPr>
          <w:rFonts w:cs="Arial"/>
        </w:rPr>
        <w:t xml:space="preserve"> research in the local community and helps keep </w:t>
      </w:r>
      <w:r w:rsidRPr="0054521F">
        <w:rPr>
          <w:rFonts w:cs="Arial"/>
        </w:rPr>
        <w:t xml:space="preserve">investigators </w:t>
      </w:r>
      <w:r>
        <w:rPr>
          <w:rFonts w:cs="Arial"/>
        </w:rPr>
        <w:t>apprised of evolving policies impacting</w:t>
      </w:r>
      <w:r w:rsidRPr="0054521F">
        <w:rPr>
          <w:rFonts w:cs="Arial"/>
        </w:rPr>
        <w:t xml:space="preserve"> h</w:t>
      </w:r>
      <w:r>
        <w:rPr>
          <w:rFonts w:cs="Arial"/>
        </w:rPr>
        <w:t>P</w:t>
      </w:r>
      <w:r w:rsidRPr="0054521F">
        <w:rPr>
          <w:rFonts w:cs="Arial"/>
        </w:rPr>
        <w:t>S cell research.</w:t>
      </w:r>
    </w:p>
    <w:p w:rsidR="00716CF1" w:rsidP="00716CF1" w14:paraId="3DD1A8BA" w14:textId="77777777">
      <w:pPr>
        <w:pStyle w:val="MediumGrid1-Accent21"/>
        <w:spacing w:before="240" w:after="240"/>
        <w:ind w:left="900"/>
        <w:jc w:val="both"/>
        <w:rPr>
          <w:rFonts w:cs="Arial"/>
        </w:rPr>
      </w:pPr>
    </w:p>
    <w:p w:rsidR="00716CF1" w:rsidP="00716CF1" w14:paraId="3DD1A8BB" w14:textId="77777777">
      <w:pPr>
        <w:pStyle w:val="MediumGrid1-Accent21"/>
        <w:numPr>
          <w:ilvl w:val="0"/>
          <w:numId w:val="6"/>
        </w:numPr>
        <w:outlineLvl w:val="0"/>
        <w:rPr>
          <w:b/>
        </w:rPr>
      </w:pPr>
      <w:bookmarkStart w:id="1" w:name="_Toc476202277"/>
      <w:r>
        <w:rPr>
          <w:b/>
        </w:rPr>
        <w:t>AUTHORITY</w:t>
      </w:r>
      <w:bookmarkEnd w:id="1"/>
    </w:p>
    <w:p w:rsidR="00716CF1" w:rsidP="00716CF1" w14:paraId="3DD1A8BC" w14:textId="77777777">
      <w:pPr>
        <w:pStyle w:val="MediumGrid1-Accent21"/>
        <w:spacing w:before="240" w:after="240"/>
        <w:contextualSpacing w:val="0"/>
      </w:pPr>
      <w:r w:rsidRPr="00671BBA">
        <w:t xml:space="preserve">The SCRO </w:t>
      </w:r>
      <w:r>
        <w:t>Committee</w:t>
      </w:r>
      <w:r w:rsidRPr="00671BBA">
        <w:t xml:space="preserve"> </w:t>
      </w:r>
      <w:r>
        <w:t>resides in</w:t>
      </w:r>
      <w:r w:rsidRPr="00671BBA">
        <w:t xml:space="preserve"> the </w:t>
      </w:r>
      <w:r>
        <w:t xml:space="preserve">Office of </w:t>
      </w:r>
      <w:r w:rsidRPr="00F70564">
        <w:t>Research Integrity and reviews the ethical justification of hPS cell research at</w:t>
      </w:r>
      <w:r w:rsidRPr="00F70564">
        <w:t xml:space="preserve"> MUSC. The Committee is delegated authority by the </w:t>
      </w:r>
      <w:r w:rsidRPr="00F70564">
        <w:rPr>
          <w:rFonts w:cs="Arial"/>
        </w:rPr>
        <w:t>Vice President</w:t>
      </w:r>
      <w:r w:rsidRPr="00F70564">
        <w:t xml:space="preserve"> for </w:t>
      </w:r>
      <w:r w:rsidRPr="00F70564">
        <w:rPr>
          <w:rFonts w:cs="Arial"/>
        </w:rPr>
        <w:t>Research</w:t>
      </w:r>
      <w:r w:rsidRPr="00F70564">
        <w:t xml:space="preserve"> to approve, require modifications, or disapprove proposed research, and to suspend or terminate approved research for serious non-compliance or unanticipated problems.</w:t>
      </w:r>
      <w:r>
        <w:t xml:space="preserve"> </w:t>
      </w:r>
    </w:p>
    <w:p w:rsidR="00716CF1" w:rsidP="00716CF1" w14:paraId="3DD1A8BD" w14:textId="77777777">
      <w:pPr>
        <w:pStyle w:val="MediumGrid1-Accent21"/>
        <w:numPr>
          <w:ilvl w:val="0"/>
          <w:numId w:val="6"/>
        </w:numPr>
        <w:outlineLvl w:val="0"/>
        <w:rPr>
          <w:b/>
        </w:rPr>
      </w:pPr>
      <w:bookmarkStart w:id="2" w:name="_Toc476202278"/>
      <w:r>
        <w:rPr>
          <w:b/>
        </w:rPr>
        <w:t>DEFINITI</w:t>
      </w:r>
      <w:r>
        <w:rPr>
          <w:b/>
        </w:rPr>
        <w:t>ONS</w:t>
      </w:r>
      <w:bookmarkEnd w:id="2"/>
    </w:p>
    <w:p w:rsidR="00716CF1" w:rsidP="00716CF1" w14:paraId="3DD1A8BE" w14:textId="77777777">
      <w:pPr>
        <w:pStyle w:val="MediumGrid1-Accent21"/>
        <w:spacing w:before="240" w:after="240"/>
      </w:pPr>
    </w:p>
    <w:p w:rsidR="00716CF1" w:rsidRPr="003459C9" w:rsidP="00716CF1" w14:paraId="3DD1A8BF" w14:textId="77777777">
      <w:pPr>
        <w:pStyle w:val="MediumGrid1-Accent21"/>
        <w:spacing w:before="240" w:after="240"/>
      </w:pPr>
      <w:r>
        <w:rPr>
          <w:b/>
        </w:rPr>
        <w:t>Blastocyst:</w:t>
      </w:r>
      <w:r w:rsidRPr="003459C9">
        <w:t xml:space="preserve"> A pre-implantation embryo of 50-250 cells consisting of a sphere made up</w:t>
      </w:r>
      <w:r>
        <w:t xml:space="preserve"> </w:t>
      </w:r>
      <w:r w:rsidRPr="003459C9">
        <w:t>of an outer layer of cells, a fluid-filled cavity, and a cluster of cells on the</w:t>
      </w:r>
      <w:r>
        <w:t xml:space="preserve"> </w:t>
      </w:r>
      <w:r w:rsidRPr="003459C9">
        <w:t>interior</w:t>
      </w:r>
    </w:p>
    <w:p w:rsidR="00716CF1" w:rsidRPr="003459C9" w:rsidP="00716CF1" w14:paraId="3DD1A8C0" w14:textId="77777777">
      <w:pPr>
        <w:pStyle w:val="MediumGrid1-Accent21"/>
        <w:spacing w:before="240" w:after="240"/>
      </w:pPr>
    </w:p>
    <w:p w:rsidR="00716CF1" w:rsidP="00716CF1" w14:paraId="3DD1A8C1" w14:textId="77777777">
      <w:pPr>
        <w:pStyle w:val="MediumGrid1-Accent21"/>
        <w:spacing w:before="240" w:after="240"/>
      </w:pPr>
      <w:r w:rsidRPr="0097243D">
        <w:rPr>
          <w:b/>
        </w:rPr>
        <w:t>hESC:</w:t>
      </w:r>
      <w:r w:rsidRPr="001075B8">
        <w:t xml:space="preserve"> </w:t>
      </w:r>
      <w:r w:rsidRPr="003459C9">
        <w:t xml:space="preserve">Human </w:t>
      </w:r>
      <w:r>
        <w:t>embryonic</w:t>
      </w:r>
      <w:r w:rsidRPr="0097243D">
        <w:t xml:space="preserve"> stem cell</w:t>
      </w:r>
      <w:r>
        <w:t xml:space="preserve"> </w:t>
      </w:r>
    </w:p>
    <w:p w:rsidR="00716CF1" w:rsidP="00716CF1" w14:paraId="3DD1A8C2" w14:textId="77777777">
      <w:pPr>
        <w:pStyle w:val="MediumGrid1-Accent21"/>
        <w:spacing w:before="240" w:after="240"/>
      </w:pPr>
    </w:p>
    <w:p w:rsidR="00716CF1" w:rsidP="00716CF1" w14:paraId="3DD1A8C3" w14:textId="77777777">
      <w:pPr>
        <w:pStyle w:val="MediumGrid1-Accent21"/>
        <w:spacing w:before="240" w:after="240"/>
      </w:pPr>
      <w:r>
        <w:rPr>
          <w:b/>
        </w:rPr>
        <w:t>hPSC</w:t>
      </w:r>
      <w:r w:rsidRPr="003A1582">
        <w:rPr>
          <w:b/>
        </w:rPr>
        <w:t>:</w:t>
      </w:r>
      <w:r w:rsidRPr="001075B8">
        <w:t xml:space="preserve"> </w:t>
      </w:r>
      <w:r w:rsidRPr="0097243D">
        <w:t xml:space="preserve">Human </w:t>
      </w:r>
      <w:r>
        <w:t>pluripotent</w:t>
      </w:r>
      <w:r w:rsidRPr="0097243D">
        <w:t xml:space="preserve"> stem cell</w:t>
      </w:r>
      <w:r>
        <w:t xml:space="preserve"> </w:t>
      </w:r>
    </w:p>
    <w:p w:rsidR="00716CF1" w:rsidP="00716CF1" w14:paraId="3DD1A8C4" w14:textId="77777777">
      <w:pPr>
        <w:pStyle w:val="MediumGrid1-Accent21"/>
        <w:spacing w:before="240" w:after="240"/>
        <w:ind w:left="0"/>
        <w:rPr>
          <w:b/>
        </w:rPr>
      </w:pPr>
    </w:p>
    <w:p w:rsidR="00716CF1" w:rsidP="00716CF1" w14:paraId="3DD1A8C5" w14:textId="77777777">
      <w:pPr>
        <w:pStyle w:val="MediumGrid1-Accent21"/>
        <w:spacing w:before="240" w:after="240"/>
      </w:pPr>
      <w:r w:rsidRPr="0097243D">
        <w:rPr>
          <w:b/>
        </w:rPr>
        <w:t>iPSC:</w:t>
      </w:r>
      <w:r w:rsidRPr="003459C9">
        <w:t xml:space="preserve"> </w:t>
      </w:r>
      <w:r>
        <w:t>Induced pluripotent stem cell by genetically reprogramming the nuclei of differentiated adult cells into a pluripotent state</w:t>
      </w:r>
    </w:p>
    <w:p w:rsidR="00716CF1" w:rsidP="00716CF1" w14:paraId="3DD1A8C6" w14:textId="77777777">
      <w:pPr>
        <w:pStyle w:val="MediumGrid1-Accent21"/>
        <w:spacing w:before="240" w:after="240"/>
      </w:pPr>
    </w:p>
    <w:p w:rsidR="00716CF1" w:rsidP="00716CF1" w14:paraId="3DD1A8C7" w14:textId="77777777">
      <w:pPr>
        <w:pStyle w:val="MediumGrid1-Accent21"/>
        <w:spacing w:before="240" w:after="240"/>
      </w:pPr>
      <w:r w:rsidRPr="003459C9">
        <w:rPr>
          <w:b/>
        </w:rPr>
        <w:t>Multipotent:</w:t>
      </w:r>
      <w:r>
        <w:t xml:space="preserve"> Capable of differentiation into a limited spectrum of differentiated cell types</w:t>
      </w:r>
    </w:p>
    <w:p w:rsidR="00716CF1" w:rsidP="00716CF1" w14:paraId="3DD1A8C8" w14:textId="77777777">
      <w:pPr>
        <w:pStyle w:val="MediumGrid1-Accent21"/>
        <w:spacing w:before="240" w:after="240"/>
      </w:pPr>
    </w:p>
    <w:p w:rsidR="00716CF1" w:rsidP="00716CF1" w14:paraId="3DD1A8C9" w14:textId="77777777">
      <w:pPr>
        <w:pStyle w:val="MediumGrid1-Accent21"/>
        <w:spacing w:before="240" w:after="240"/>
      </w:pPr>
      <w:r w:rsidRPr="003459C9">
        <w:rPr>
          <w:b/>
        </w:rPr>
        <w:t>Pluripotent:</w:t>
      </w:r>
      <w:r>
        <w:t xml:space="preserve"> Capable of develo</w:t>
      </w:r>
      <w:r>
        <w:t>ping into cells of all germ layers (endoderm,</w:t>
      </w:r>
    </w:p>
    <w:p w:rsidR="00716CF1" w:rsidP="00716CF1" w14:paraId="3DD1A8CA" w14:textId="77777777">
      <w:pPr>
        <w:pStyle w:val="MediumGrid1-Accent21"/>
        <w:spacing w:before="240" w:after="240"/>
      </w:pPr>
      <w:r>
        <w:t>ectoderm, and mesoderm)</w:t>
      </w:r>
      <w:r w:rsidRPr="003459C9">
        <w:t xml:space="preserve"> </w:t>
      </w:r>
    </w:p>
    <w:p w:rsidR="00716CF1" w:rsidRPr="001075B8" w:rsidP="00716CF1" w14:paraId="3DD1A8CB" w14:textId="77777777">
      <w:pPr>
        <w:pStyle w:val="MediumGrid1-Accent21"/>
        <w:spacing w:before="240" w:after="240"/>
      </w:pPr>
    </w:p>
    <w:p w:rsidR="00716CF1" w:rsidRPr="001075B8" w:rsidP="00716CF1" w14:paraId="3DD1A8CC" w14:textId="77777777">
      <w:pPr>
        <w:pStyle w:val="MediumGrid1-Accent21"/>
        <w:spacing w:before="240" w:after="240"/>
      </w:pPr>
    </w:p>
    <w:p w:rsidR="00716CF1" w:rsidP="00716CF1" w14:paraId="3DD1A8CD" w14:textId="77777777">
      <w:pPr>
        <w:pStyle w:val="MediumGrid1-Accent21"/>
        <w:numPr>
          <w:ilvl w:val="0"/>
          <w:numId w:val="6"/>
        </w:numPr>
        <w:outlineLvl w:val="0"/>
        <w:rPr>
          <w:b/>
        </w:rPr>
      </w:pPr>
      <w:bookmarkStart w:id="3" w:name="_Toc476202279"/>
      <w:r>
        <w:rPr>
          <w:b/>
        </w:rPr>
        <w:t>REVIEW PROCESS</w:t>
      </w:r>
      <w:bookmarkEnd w:id="3"/>
    </w:p>
    <w:p w:rsidR="00716CF1" w:rsidRPr="00AF4FE4" w:rsidP="00716CF1" w14:paraId="3DD1A8CE" w14:textId="77777777">
      <w:pPr>
        <w:pStyle w:val="MediumGrid1-Accent21"/>
        <w:numPr>
          <w:ilvl w:val="1"/>
          <w:numId w:val="6"/>
        </w:numPr>
        <w:spacing w:before="240" w:after="240"/>
        <w:ind w:left="907"/>
        <w:contextualSpacing w:val="0"/>
        <w:outlineLvl w:val="1"/>
        <w:rPr>
          <w:b/>
        </w:rPr>
      </w:pPr>
      <w:bookmarkStart w:id="4" w:name="_Toc476202280"/>
      <w:r w:rsidRPr="00AF4FE4">
        <w:rPr>
          <w:b/>
        </w:rPr>
        <w:t>Review Process</w:t>
      </w:r>
      <w:bookmarkEnd w:id="4"/>
    </w:p>
    <w:p w:rsidR="00716CF1" w:rsidP="00716CF1" w14:paraId="3DD1A8CF" w14:textId="77777777">
      <w:pPr>
        <w:pStyle w:val="MediumGrid1-Accent21"/>
        <w:spacing w:before="240" w:after="240"/>
        <w:ind w:left="900"/>
      </w:pPr>
      <w:r>
        <w:t>To initiate review of a protocol by the SCRO Committee, Principal Investigators (PIs) must submit an application</w:t>
      </w:r>
      <w:r>
        <w:t xml:space="preserve"> to the Committee. The SCRO Administrator will also be notified of the intent to conduct research involving hPSCs if that box is selected on the Electronic Proposal Data Sheet. On receipt of the application, the SCRO Administrator screens the information p</w:t>
      </w:r>
      <w:r>
        <w:t>rovided for completeness. If deemed complete, the Administrator suggests the appropriate level of review and forwards the application to the SCRO Committee Chair or Designated Reviewer.  The level of SCRO review is determined by the Chair of the Committee.</w:t>
      </w:r>
      <w:r>
        <w:t xml:space="preserve"> </w:t>
      </w:r>
    </w:p>
    <w:p w:rsidR="00716CF1" w:rsidRPr="00A317FC" w:rsidP="00716CF1" w14:paraId="3DD1A8D0" w14:textId="77777777">
      <w:pPr>
        <w:pStyle w:val="MediumGrid1-Accent21"/>
        <w:spacing w:before="240" w:after="240"/>
        <w:ind w:left="900"/>
        <w:rPr>
          <w:rFonts w:cs="Arial"/>
        </w:rPr>
      </w:pPr>
    </w:p>
    <w:p w:rsidR="00716CF1" w:rsidRPr="00A317FC" w:rsidP="00716CF1" w14:paraId="3DD1A8D1" w14:textId="77777777">
      <w:pPr>
        <w:pStyle w:val="MediumGrid1-Accent21"/>
        <w:numPr>
          <w:ilvl w:val="1"/>
          <w:numId w:val="6"/>
        </w:numPr>
        <w:spacing w:before="240" w:after="240"/>
        <w:ind w:left="907"/>
        <w:contextualSpacing w:val="0"/>
        <w:outlineLvl w:val="1"/>
        <w:rPr>
          <w:rFonts w:cs="Arial"/>
        </w:rPr>
      </w:pPr>
      <w:bookmarkStart w:id="5" w:name="_Toc476202281"/>
      <w:r w:rsidRPr="00A317FC">
        <w:rPr>
          <w:rFonts w:cs="Arial"/>
          <w:b/>
        </w:rPr>
        <w:t>Levels of Review</w:t>
      </w:r>
      <w:bookmarkEnd w:id="5"/>
    </w:p>
    <w:tbl>
      <w:tblPr>
        <w:tblW w:w="9614" w:type="dxa"/>
        <w:tblInd w:w="9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8310"/>
        <w:gridCol w:w="652"/>
        <w:gridCol w:w="652"/>
      </w:tblGrid>
      <w:tr w14:paraId="3DD1A8D5" w14:textId="77777777" w:rsidTr="007A155A">
        <w:tblPrEx>
          <w:tblW w:w="9614" w:type="dxa"/>
          <w:tblInd w:w="93" w:type="dxa"/>
          <w:tblLook w:val="04A0"/>
        </w:tblPrEx>
        <w:tc>
          <w:tcPr>
            <w:tcW w:w="0" w:type="auto"/>
            <w:tcBorders>
              <w:bottom w:val="single" w:sz="4" w:space="0" w:color="A6A6A6"/>
            </w:tcBorders>
            <w:shd w:val="clear" w:color="auto" w:fill="BFBFBF"/>
            <w:hideMark/>
          </w:tcPr>
          <w:p w:rsidR="00716CF1" w:rsidRPr="00716CF1" w:rsidP="007A155A" w14:paraId="3DD1A8D2" w14:textId="77777777">
            <w:pPr>
              <w:spacing w:after="120"/>
              <w:rPr>
                <w:rFonts w:ascii="Arial" w:hAnsi="Arial" w:cs="Arial"/>
                <w:bCs/>
                <w:color w:val="000000"/>
                <w:sz w:val="24"/>
                <w:szCs w:val="24"/>
              </w:rPr>
            </w:pPr>
            <w:r w:rsidRPr="00716CF1">
              <w:rPr>
                <w:rFonts w:ascii="Arial" w:hAnsi="Arial" w:cs="Arial"/>
                <w:bCs/>
                <w:color w:val="000000"/>
                <w:sz w:val="24"/>
                <w:szCs w:val="24"/>
              </w:rPr>
              <w:t>IV.B.1. Expedited Review</w:t>
            </w:r>
          </w:p>
        </w:tc>
        <w:tc>
          <w:tcPr>
            <w:tcW w:w="0" w:type="auto"/>
            <w:tcBorders>
              <w:bottom w:val="single" w:sz="4" w:space="0" w:color="A6A6A6"/>
            </w:tcBorders>
            <w:shd w:val="clear" w:color="auto" w:fill="BFBFBF"/>
            <w:hideMark/>
          </w:tcPr>
          <w:p w:rsidR="00716CF1" w:rsidRPr="004F08D8" w:rsidP="007A155A" w14:paraId="3DD1A8D3" w14:textId="77777777">
            <w:pPr>
              <w:spacing w:after="120"/>
              <w:rPr>
                <w:rFonts w:cs="Arial"/>
                <w:color w:val="000000"/>
              </w:rPr>
            </w:pPr>
          </w:p>
        </w:tc>
        <w:tc>
          <w:tcPr>
            <w:tcW w:w="0" w:type="auto"/>
            <w:tcBorders>
              <w:bottom w:val="single" w:sz="4" w:space="0" w:color="A6A6A6"/>
            </w:tcBorders>
            <w:shd w:val="clear" w:color="auto" w:fill="BFBFBF"/>
            <w:hideMark/>
          </w:tcPr>
          <w:p w:rsidR="00716CF1" w:rsidRPr="004F08D8" w:rsidP="007A155A" w14:paraId="3DD1A8D4" w14:textId="77777777">
            <w:pPr>
              <w:spacing w:after="120"/>
              <w:rPr>
                <w:rFonts w:cs="Arial"/>
                <w:color w:val="000000"/>
              </w:rPr>
            </w:pPr>
          </w:p>
        </w:tc>
      </w:tr>
      <w:tr w14:paraId="3DD1A8E7" w14:textId="77777777" w:rsidTr="007A155A">
        <w:tblPrEx>
          <w:tblW w:w="9614" w:type="dxa"/>
          <w:tblInd w:w="93" w:type="dxa"/>
          <w:tblLook w:val="04A0"/>
        </w:tblPrEx>
        <w:tc>
          <w:tcPr>
            <w:tcW w:w="0" w:type="auto"/>
            <w:gridSpan w:val="3"/>
            <w:tcBorders>
              <w:top w:val="single" w:sz="4" w:space="0" w:color="A6A6A6"/>
              <w:left w:val="single" w:sz="4" w:space="0" w:color="A6A6A6"/>
              <w:right w:val="single" w:sz="4" w:space="0" w:color="A6A6A6"/>
            </w:tcBorders>
            <w:shd w:val="clear" w:color="auto" w:fill="auto"/>
          </w:tcPr>
          <w:p w:rsidR="00716CF1" w:rsidRPr="00716CF1" w:rsidP="007A155A" w14:paraId="3DD1A8D6" w14:textId="77777777">
            <w:pPr>
              <w:spacing w:after="120"/>
              <w:ind w:left="267" w:hanging="270"/>
              <w:rPr>
                <w:rFonts w:ascii="Arial" w:hAnsi="Arial" w:cs="Arial"/>
                <w:color w:val="000000"/>
                <w:sz w:val="24"/>
                <w:szCs w:val="24"/>
              </w:rPr>
            </w:pPr>
            <w:r w:rsidRPr="00716CF1">
              <w:rPr>
                <w:rFonts w:ascii="Arial" w:hAnsi="Arial" w:cs="Arial"/>
                <w:color w:val="000000"/>
                <w:sz w:val="24"/>
                <w:szCs w:val="24"/>
              </w:rPr>
              <w:t>a) Protocols involving purely</w:t>
            </w:r>
            <w:r w:rsidRPr="00716CF1">
              <w:rPr>
                <w:rFonts w:ascii="Arial" w:hAnsi="Arial" w:cs="Arial"/>
                <w:i/>
                <w:iCs/>
                <w:color w:val="000000"/>
                <w:sz w:val="24"/>
                <w:szCs w:val="24"/>
              </w:rPr>
              <w:t xml:space="preserve"> in vitro</w:t>
            </w:r>
            <w:r w:rsidRPr="00716CF1">
              <w:rPr>
                <w:rFonts w:ascii="Arial" w:hAnsi="Arial" w:cs="Arial"/>
                <w:color w:val="000000"/>
                <w:sz w:val="24"/>
                <w:szCs w:val="24"/>
              </w:rPr>
              <w:t xml:space="preserve"> research (</w:t>
            </w:r>
            <w:r w:rsidRPr="00716CF1">
              <w:rPr>
                <w:rFonts w:ascii="Arial" w:hAnsi="Arial" w:cs="Arial"/>
                <w:b/>
                <w:color w:val="000000"/>
                <w:sz w:val="24"/>
                <w:szCs w:val="24"/>
              </w:rPr>
              <w:t>excluding</w:t>
            </w:r>
            <w:r w:rsidRPr="00716CF1">
              <w:rPr>
                <w:rFonts w:ascii="Arial" w:hAnsi="Arial" w:cs="Arial"/>
                <w:color w:val="000000"/>
                <w:sz w:val="24"/>
                <w:szCs w:val="24"/>
              </w:rPr>
              <w:t xml:space="preserve"> protocols for differentiation of hPS</w:t>
            </w:r>
            <w:r w:rsidRPr="00716CF1">
              <w:rPr>
                <w:rFonts w:ascii="Arial" w:hAnsi="Arial" w:cs="Arial"/>
                <w:color w:val="000000"/>
                <w:sz w:val="24"/>
                <w:szCs w:val="24"/>
              </w:rPr>
              <w:t xml:space="preserve"> cells into gametes or other epiblast-derived cell types), which only involve any of the following: </w:t>
            </w:r>
          </w:p>
          <w:p w:rsidR="00716CF1" w:rsidRPr="00716CF1" w:rsidP="007A155A" w14:paraId="3DD1A8D7" w14:textId="77777777">
            <w:pPr>
              <w:spacing w:after="120"/>
              <w:ind w:left="627" w:hanging="270"/>
              <w:rPr>
                <w:rFonts w:ascii="Arial" w:hAnsi="Arial" w:cs="Arial"/>
                <w:color w:val="000000"/>
                <w:sz w:val="24"/>
                <w:szCs w:val="24"/>
              </w:rPr>
            </w:pPr>
            <w:r w:rsidRPr="00716CF1">
              <w:rPr>
                <w:rFonts w:ascii="Arial" w:hAnsi="Arial" w:cs="Arial"/>
                <w:color w:val="000000"/>
                <w:sz w:val="24"/>
                <w:szCs w:val="24"/>
              </w:rPr>
              <w:t xml:space="preserve">(1) Human adult stem cells or human cord blood stem cells (however, see Section IV.B.4) </w:t>
            </w:r>
          </w:p>
          <w:p w:rsidR="00716CF1" w:rsidRPr="00716CF1" w:rsidP="007A155A" w14:paraId="3DD1A8D8" w14:textId="77777777">
            <w:pPr>
              <w:spacing w:after="120"/>
              <w:ind w:left="627" w:hanging="274"/>
              <w:rPr>
                <w:rFonts w:ascii="Arial" w:hAnsi="Arial" w:cs="Arial"/>
                <w:color w:val="111011"/>
                <w:sz w:val="24"/>
                <w:szCs w:val="24"/>
              </w:rPr>
            </w:pPr>
            <w:r w:rsidRPr="00716CF1">
              <w:rPr>
                <w:rFonts w:ascii="Arial" w:hAnsi="Arial" w:cs="Arial"/>
                <w:color w:val="000000"/>
                <w:sz w:val="24"/>
                <w:szCs w:val="24"/>
              </w:rPr>
              <w:t>(2) hESC lines that have been “acceptably derived”</w:t>
            </w:r>
            <w:r>
              <w:rPr>
                <w:rStyle w:val="FootnoteReference"/>
                <w:rFonts w:ascii="Arial" w:hAnsi="Arial" w:cs="Arial"/>
                <w:color w:val="000000"/>
                <w:sz w:val="24"/>
                <w:szCs w:val="24"/>
              </w:rPr>
              <w:footnoteReference w:id="2"/>
            </w:r>
            <w:r w:rsidRPr="00716CF1">
              <w:rPr>
                <w:rFonts w:ascii="Arial" w:hAnsi="Arial" w:cs="Arial"/>
                <w:color w:val="000000"/>
                <w:sz w:val="24"/>
                <w:szCs w:val="24"/>
              </w:rPr>
              <w:t xml:space="preserve">. </w:t>
            </w:r>
          </w:p>
          <w:p w:rsidR="00716CF1" w:rsidRPr="00716CF1" w:rsidP="007A155A" w14:paraId="3DD1A8D9" w14:textId="77777777">
            <w:pPr>
              <w:spacing w:after="120"/>
              <w:ind w:left="627" w:hanging="270"/>
              <w:rPr>
                <w:rFonts w:ascii="Arial" w:hAnsi="Arial" w:cs="Arial"/>
                <w:color w:val="000000"/>
                <w:sz w:val="24"/>
                <w:szCs w:val="24"/>
              </w:rPr>
            </w:pPr>
            <w:r w:rsidRPr="00716CF1">
              <w:rPr>
                <w:rFonts w:ascii="Arial" w:hAnsi="Arial" w:cs="Arial"/>
                <w:color w:val="000000"/>
                <w:sz w:val="24"/>
                <w:szCs w:val="24"/>
              </w:rPr>
              <w:t xml:space="preserve">(3) </w:t>
            </w:r>
            <w:r w:rsidRPr="00716CF1">
              <w:rPr>
                <w:rFonts w:ascii="Arial" w:hAnsi="Arial" w:cs="Arial"/>
                <w:color w:val="000000"/>
                <w:sz w:val="24"/>
                <w:szCs w:val="24"/>
              </w:rPr>
              <w:t xml:space="preserve">hPSC lines which have previously been approved for use at MUSC by the SCRO Committee unless there is new information that calls into question renewal or approval </w:t>
            </w:r>
          </w:p>
          <w:p w:rsidR="00716CF1" w:rsidRPr="00716CF1" w:rsidP="007A155A" w14:paraId="3DD1A8DA" w14:textId="77777777">
            <w:pPr>
              <w:spacing w:after="120"/>
              <w:ind w:left="627" w:hanging="270"/>
              <w:rPr>
                <w:rFonts w:ascii="Arial" w:hAnsi="Arial" w:cs="Arial"/>
                <w:color w:val="000000"/>
                <w:sz w:val="24"/>
                <w:szCs w:val="24"/>
              </w:rPr>
            </w:pPr>
            <w:r w:rsidRPr="00716CF1">
              <w:rPr>
                <w:rFonts w:ascii="Arial" w:hAnsi="Arial" w:cs="Arial"/>
                <w:color w:val="000000"/>
                <w:sz w:val="24"/>
                <w:szCs w:val="24"/>
              </w:rPr>
              <w:t>(4) existing human induced pluripotent stem cells (iPSC) (</w:t>
            </w:r>
            <w:r w:rsidRPr="00716CF1">
              <w:rPr>
                <w:rFonts w:ascii="Arial" w:hAnsi="Arial" w:cs="Arial"/>
                <w:b/>
                <w:color w:val="000000"/>
                <w:sz w:val="24"/>
                <w:szCs w:val="24"/>
              </w:rPr>
              <w:t>excluding</w:t>
            </w:r>
            <w:r w:rsidRPr="00716CF1">
              <w:rPr>
                <w:rFonts w:ascii="Arial" w:hAnsi="Arial" w:cs="Arial"/>
                <w:color w:val="000000"/>
                <w:sz w:val="24"/>
                <w:szCs w:val="24"/>
              </w:rPr>
              <w:t xml:space="preserve"> research directed at crea</w:t>
            </w:r>
            <w:r w:rsidRPr="00716CF1">
              <w:rPr>
                <w:rFonts w:ascii="Arial" w:hAnsi="Arial" w:cs="Arial"/>
                <w:color w:val="000000"/>
                <w:sz w:val="24"/>
                <w:szCs w:val="24"/>
              </w:rPr>
              <w:t>ting an human iPSC with embryonic stem cell quality from a somatic cell), provided one of the following criteria has been met:</w:t>
            </w:r>
          </w:p>
          <w:p w:rsidR="00716CF1" w:rsidRPr="00716CF1" w:rsidP="007A155A" w14:paraId="3DD1A8DB" w14:textId="77777777">
            <w:pPr>
              <w:ind w:left="1077" w:hanging="274"/>
              <w:rPr>
                <w:rFonts w:ascii="Arial" w:hAnsi="Arial" w:cs="Arial"/>
                <w:color w:val="111011"/>
                <w:sz w:val="24"/>
                <w:szCs w:val="24"/>
              </w:rPr>
            </w:pPr>
            <w:r w:rsidRPr="00716CF1">
              <w:rPr>
                <w:rFonts w:ascii="Arial" w:hAnsi="Arial" w:cs="Arial"/>
                <w:color w:val="111011"/>
                <w:sz w:val="24"/>
                <w:szCs w:val="24"/>
              </w:rPr>
              <w:t>(i) The IRB approved the consent form and process for obtaining the somatic cells used for induction; or</w:t>
            </w:r>
          </w:p>
          <w:p w:rsidR="00716CF1" w:rsidRPr="00716CF1" w:rsidP="007A155A" w14:paraId="3DD1A8DC" w14:textId="77777777">
            <w:pPr>
              <w:ind w:left="1077" w:hanging="274"/>
              <w:rPr>
                <w:rFonts w:ascii="Arial" w:hAnsi="Arial" w:cs="Arial"/>
                <w:color w:val="111011"/>
                <w:sz w:val="24"/>
                <w:szCs w:val="24"/>
              </w:rPr>
            </w:pPr>
            <w:r w:rsidRPr="00716CF1">
              <w:rPr>
                <w:rFonts w:ascii="Arial" w:hAnsi="Arial" w:cs="Arial"/>
                <w:color w:val="111011"/>
                <w:sz w:val="24"/>
                <w:szCs w:val="24"/>
              </w:rPr>
              <w:t>(ii) The SCRO Committee receives written confirmation from a Stem Cell Oversight Committee, an Institutional (IRB), or equivalent oversight body at another institution, that the oversight body approved the process for obtaining the somatic cells used for i</w:t>
            </w:r>
            <w:r w:rsidRPr="00716CF1">
              <w:rPr>
                <w:rFonts w:ascii="Arial" w:hAnsi="Arial" w:cs="Arial"/>
                <w:color w:val="111011"/>
                <w:sz w:val="24"/>
                <w:szCs w:val="24"/>
              </w:rPr>
              <w:t>nduction; or</w:t>
            </w:r>
          </w:p>
          <w:p w:rsidR="00716CF1" w:rsidRPr="00716CF1" w:rsidP="007A155A" w14:paraId="3DD1A8DD" w14:textId="77777777">
            <w:pPr>
              <w:ind w:left="1077" w:hanging="274"/>
              <w:rPr>
                <w:rFonts w:ascii="Arial" w:hAnsi="Arial" w:cs="Arial"/>
                <w:color w:val="111011"/>
                <w:sz w:val="24"/>
                <w:szCs w:val="24"/>
              </w:rPr>
            </w:pPr>
            <w:r w:rsidRPr="00716CF1">
              <w:rPr>
                <w:rFonts w:ascii="Arial" w:hAnsi="Arial" w:cs="Arial"/>
                <w:color w:val="111011"/>
                <w:sz w:val="24"/>
                <w:szCs w:val="24"/>
              </w:rPr>
              <w:t>(iii) The process for obtaining the somatic cell used for induction was not “research involving human subjects” within the meaning of Title 45, Part 46 of the US Code of Federal Regulations (45 CFR Part 46).</w:t>
            </w:r>
          </w:p>
          <w:p w:rsidR="00716CF1" w:rsidRPr="00716CF1" w:rsidP="007A155A" w14:paraId="3DD1A8DE" w14:textId="77777777">
            <w:pPr>
              <w:ind w:left="1077" w:hanging="274"/>
              <w:rPr>
                <w:rFonts w:ascii="Arial" w:hAnsi="Arial" w:cs="Arial"/>
                <w:color w:val="111011"/>
                <w:sz w:val="24"/>
                <w:szCs w:val="24"/>
              </w:rPr>
            </w:pPr>
            <w:r w:rsidRPr="00716CF1">
              <w:rPr>
                <w:rFonts w:ascii="Arial" w:hAnsi="Arial" w:cs="Arial"/>
                <w:color w:val="111011"/>
                <w:sz w:val="24"/>
                <w:szCs w:val="24"/>
              </w:rPr>
              <w:t xml:space="preserve">(iv) The process for obtaining the </w:t>
            </w:r>
            <w:r w:rsidRPr="00716CF1">
              <w:rPr>
                <w:rFonts w:ascii="Arial" w:hAnsi="Arial" w:cs="Arial"/>
                <w:color w:val="111011"/>
                <w:sz w:val="24"/>
                <w:szCs w:val="24"/>
              </w:rPr>
              <w:t>somatic cells used for induction was exempt from the requirements of 45 CFR Part 46, under 45 CFR Part 46.101(b).</w:t>
            </w:r>
          </w:p>
          <w:p w:rsidR="00716CF1" w:rsidRPr="00716CF1" w:rsidP="007A155A" w14:paraId="3DD1A8DF" w14:textId="77777777">
            <w:pPr>
              <w:ind w:left="1077" w:hanging="274"/>
              <w:rPr>
                <w:rFonts w:ascii="Arial" w:hAnsi="Arial" w:cs="Arial"/>
                <w:color w:val="111011"/>
                <w:sz w:val="24"/>
                <w:szCs w:val="24"/>
              </w:rPr>
            </w:pPr>
            <w:r w:rsidRPr="00716CF1">
              <w:rPr>
                <w:rFonts w:ascii="Arial" w:hAnsi="Arial" w:cs="Arial"/>
                <w:color w:val="111011"/>
                <w:sz w:val="24"/>
                <w:szCs w:val="24"/>
              </w:rPr>
              <w:t>(v) Cells are linked to one or more protected Health Information identifiers by code and MUSC researchers cannot trace cells back to donor per</w:t>
            </w:r>
            <w:r w:rsidRPr="00716CF1">
              <w:rPr>
                <w:rFonts w:ascii="Arial" w:hAnsi="Arial" w:cs="Arial"/>
                <w:color w:val="111011"/>
                <w:sz w:val="24"/>
                <w:szCs w:val="24"/>
              </w:rPr>
              <w:t xml:space="preserve"> written agreement or policy. However, the provider of the iPSCs can.</w:t>
            </w:r>
          </w:p>
          <w:p w:rsidR="00716CF1" w:rsidRPr="00716CF1" w:rsidP="007A155A" w14:paraId="3DD1A8E0" w14:textId="77777777">
            <w:pPr>
              <w:ind w:left="1077" w:hanging="274"/>
              <w:rPr>
                <w:rFonts w:ascii="Arial" w:hAnsi="Arial" w:cs="Arial"/>
                <w:color w:val="000000"/>
                <w:sz w:val="24"/>
                <w:szCs w:val="24"/>
              </w:rPr>
            </w:pPr>
          </w:p>
          <w:p w:rsidR="00716CF1" w:rsidRPr="00716CF1" w:rsidP="007A155A" w14:paraId="3DD1A8E1" w14:textId="77777777">
            <w:pPr>
              <w:spacing w:after="120"/>
              <w:ind w:left="267" w:hanging="270"/>
              <w:rPr>
                <w:rFonts w:ascii="Arial" w:hAnsi="Arial" w:cs="Arial"/>
                <w:color w:val="111011"/>
                <w:sz w:val="24"/>
                <w:szCs w:val="24"/>
              </w:rPr>
            </w:pPr>
            <w:r w:rsidRPr="00716CF1">
              <w:rPr>
                <w:rFonts w:ascii="Arial" w:hAnsi="Arial" w:cs="Arial"/>
                <w:color w:val="000000"/>
                <w:sz w:val="24"/>
                <w:szCs w:val="24"/>
              </w:rPr>
              <w:t xml:space="preserve">b) generation of human iPSC, where the process for obtaining the somatic cells used for pluripotency induction, whether </w:t>
            </w:r>
            <w:r w:rsidRPr="00716CF1">
              <w:rPr>
                <w:rFonts w:ascii="Arial" w:hAnsi="Arial" w:cs="Arial"/>
                <w:i/>
                <w:color w:val="000000"/>
                <w:sz w:val="24"/>
                <w:szCs w:val="24"/>
              </w:rPr>
              <w:t>in vitro</w:t>
            </w:r>
            <w:r w:rsidRPr="00716CF1">
              <w:rPr>
                <w:rFonts w:ascii="Arial" w:hAnsi="Arial" w:cs="Arial"/>
                <w:color w:val="000000"/>
                <w:sz w:val="24"/>
                <w:szCs w:val="24"/>
              </w:rPr>
              <w:t xml:space="preserve"> or </w:t>
            </w:r>
            <w:r w:rsidRPr="00716CF1">
              <w:rPr>
                <w:rFonts w:ascii="Arial" w:hAnsi="Arial" w:cs="Arial"/>
                <w:i/>
                <w:color w:val="000000"/>
                <w:sz w:val="24"/>
                <w:szCs w:val="24"/>
              </w:rPr>
              <w:t>in vivo</w:t>
            </w:r>
            <w:r w:rsidRPr="00716CF1">
              <w:rPr>
                <w:rFonts w:ascii="Arial" w:hAnsi="Arial" w:cs="Arial"/>
                <w:color w:val="000000"/>
                <w:sz w:val="24"/>
                <w:szCs w:val="24"/>
              </w:rPr>
              <w:t>, satisfies the requirements of Section IV.B.1</w:t>
            </w:r>
            <w:r w:rsidRPr="00716CF1">
              <w:rPr>
                <w:rFonts w:ascii="Arial" w:hAnsi="Arial" w:cs="Arial"/>
                <w:color w:val="000000"/>
                <w:sz w:val="24"/>
                <w:szCs w:val="24"/>
              </w:rPr>
              <w:t xml:space="preserve">.a.4 (i-v), above. </w:t>
            </w:r>
          </w:p>
          <w:p w:rsidR="00716CF1" w:rsidRPr="00716CF1" w:rsidP="007A155A" w14:paraId="3DD1A8E2" w14:textId="77777777">
            <w:pPr>
              <w:spacing w:after="120"/>
              <w:ind w:left="267" w:hanging="270"/>
              <w:rPr>
                <w:rFonts w:ascii="Arial" w:hAnsi="Arial" w:cs="Arial"/>
                <w:color w:val="000000"/>
                <w:sz w:val="24"/>
                <w:szCs w:val="24"/>
              </w:rPr>
            </w:pPr>
            <w:r w:rsidRPr="00716CF1">
              <w:rPr>
                <w:rFonts w:ascii="Arial" w:hAnsi="Arial" w:cs="Arial"/>
                <w:color w:val="000000"/>
                <w:sz w:val="24"/>
                <w:szCs w:val="24"/>
              </w:rPr>
              <w:t xml:space="preserve">c) Protocols involving the injection/transplantation of a stem cell line (described in Section IV.B.1.a) into non-human blastocysts, embryos or fetuses, or post-natal animals, </w:t>
            </w:r>
            <w:r w:rsidRPr="00716CF1">
              <w:rPr>
                <w:rFonts w:ascii="Arial" w:hAnsi="Arial" w:cs="Arial"/>
                <w:b/>
                <w:color w:val="000000"/>
                <w:sz w:val="24"/>
                <w:szCs w:val="24"/>
              </w:rPr>
              <w:t>excluding</w:t>
            </w:r>
            <w:r w:rsidRPr="00716CF1">
              <w:rPr>
                <w:rFonts w:ascii="Arial" w:hAnsi="Arial" w:cs="Arial"/>
                <w:color w:val="000000"/>
                <w:sz w:val="24"/>
                <w:szCs w:val="24"/>
              </w:rPr>
              <w:t xml:space="preserve"> the following:</w:t>
            </w:r>
          </w:p>
          <w:p w:rsidR="00716CF1" w:rsidRPr="00716CF1" w:rsidP="007A155A" w14:paraId="3DD1A8E3" w14:textId="77777777">
            <w:pPr>
              <w:spacing w:after="120"/>
              <w:ind w:left="627" w:hanging="270"/>
              <w:rPr>
                <w:rFonts w:ascii="Arial" w:hAnsi="Arial" w:cs="Arial"/>
                <w:color w:val="111011"/>
                <w:sz w:val="24"/>
                <w:szCs w:val="24"/>
              </w:rPr>
            </w:pPr>
            <w:r w:rsidRPr="00716CF1">
              <w:rPr>
                <w:rFonts w:ascii="Arial" w:hAnsi="Arial" w:cs="Arial"/>
                <w:color w:val="000000"/>
                <w:sz w:val="24"/>
                <w:szCs w:val="24"/>
              </w:rPr>
              <w:t>(1) Protocols involving the introdu</w:t>
            </w:r>
            <w:r w:rsidRPr="00716CF1">
              <w:rPr>
                <w:rFonts w:ascii="Arial" w:hAnsi="Arial" w:cs="Arial"/>
                <w:color w:val="000000"/>
                <w:sz w:val="24"/>
                <w:szCs w:val="24"/>
              </w:rPr>
              <w:t>ction of cells suspected to be neural progenitor cells into non-human blastocysts, embryos or fetuses, or into the brain of post-natal non-human animals require full committee review;</w:t>
            </w:r>
          </w:p>
          <w:p w:rsidR="00716CF1" w:rsidRPr="00716CF1" w:rsidP="007A155A" w14:paraId="3DD1A8E4" w14:textId="77777777">
            <w:pPr>
              <w:spacing w:after="120"/>
              <w:ind w:left="627" w:hanging="270"/>
              <w:rPr>
                <w:rFonts w:ascii="Arial" w:hAnsi="Arial" w:cs="Arial"/>
                <w:color w:val="111011"/>
                <w:sz w:val="24"/>
                <w:szCs w:val="24"/>
              </w:rPr>
            </w:pPr>
            <w:r w:rsidRPr="00716CF1">
              <w:rPr>
                <w:rFonts w:ascii="Arial" w:hAnsi="Arial" w:cs="Arial"/>
                <w:color w:val="000000"/>
                <w:sz w:val="24"/>
                <w:szCs w:val="24"/>
              </w:rPr>
              <w:t>(2) Protocols in which there is a significant possibility that the impla</w:t>
            </w:r>
            <w:r w:rsidRPr="00716CF1">
              <w:rPr>
                <w:rFonts w:ascii="Arial" w:hAnsi="Arial" w:cs="Arial"/>
                <w:color w:val="000000"/>
                <w:sz w:val="24"/>
                <w:szCs w:val="24"/>
              </w:rPr>
              <w:t xml:space="preserve">nted human stem cells could give rise to functional neural or gametic cells and tissues require full committee review. In considering the likelihood of such an outcome, particular attention should be paid to at least three factors: (i) The extent to which </w:t>
            </w:r>
            <w:r w:rsidRPr="00716CF1">
              <w:rPr>
                <w:rFonts w:ascii="Arial" w:hAnsi="Arial" w:cs="Arial"/>
                <w:color w:val="000000"/>
                <w:sz w:val="24"/>
                <w:szCs w:val="24"/>
              </w:rPr>
              <w:t xml:space="preserve">the </w:t>
            </w:r>
            <w:r w:rsidRPr="00716CF1">
              <w:rPr>
                <w:rFonts w:ascii="Arial" w:hAnsi="Arial" w:cs="Arial"/>
                <w:color w:val="000000"/>
                <w:sz w:val="24"/>
                <w:szCs w:val="24"/>
              </w:rPr>
              <w:t xml:space="preserve">implanted cells are anticipated to colonize and integrate into the animal tissue, and; (ii) The degree of anticipated differentiation of the implanted cells, and; (iii) The possible effects of the implanted cells on the function of the animal tissue;  </w:t>
            </w:r>
            <w:r w:rsidRPr="00716CF1">
              <w:rPr>
                <w:rFonts w:ascii="Arial" w:hAnsi="Arial" w:cs="Arial"/>
                <w:color w:val="000000"/>
                <w:sz w:val="24"/>
                <w:szCs w:val="24"/>
              </w:rPr>
              <w:t>NOTE: Use that is limited to teratoma formation to test for pluripotency does not require SCRO review.</w:t>
            </w:r>
          </w:p>
          <w:p w:rsidR="00716CF1" w:rsidRPr="00716CF1" w:rsidP="007A155A" w14:paraId="3DD1A8E5" w14:textId="77777777">
            <w:pPr>
              <w:spacing w:after="120"/>
              <w:ind w:left="267" w:hanging="270"/>
              <w:rPr>
                <w:rFonts w:ascii="Arial" w:hAnsi="Arial" w:cs="Arial"/>
                <w:color w:val="111011"/>
                <w:sz w:val="24"/>
                <w:szCs w:val="24"/>
              </w:rPr>
            </w:pPr>
            <w:r w:rsidRPr="00716CF1">
              <w:rPr>
                <w:rFonts w:ascii="Arial" w:hAnsi="Arial" w:cs="Arial"/>
                <w:color w:val="000000"/>
                <w:sz w:val="24"/>
                <w:szCs w:val="24"/>
              </w:rPr>
              <w:t>d) Protocols involving the use of human oocytes or embryos that are inadequate for reproductive purposes, would otherwise be discarded, and will not be u</w:t>
            </w:r>
            <w:r w:rsidRPr="00716CF1">
              <w:rPr>
                <w:rFonts w:ascii="Arial" w:hAnsi="Arial" w:cs="Arial"/>
                <w:color w:val="000000"/>
                <w:sz w:val="24"/>
                <w:szCs w:val="24"/>
              </w:rPr>
              <w:t>sed to create pluripotent stem cells; or</w:t>
            </w:r>
          </w:p>
          <w:p w:rsidR="00716CF1" w:rsidRPr="00716CF1" w:rsidP="007A155A" w14:paraId="3DD1A8E6" w14:textId="77777777">
            <w:pPr>
              <w:spacing w:after="120"/>
              <w:ind w:left="267" w:hanging="270"/>
              <w:rPr>
                <w:rFonts w:ascii="Arial" w:hAnsi="Arial" w:cs="Arial"/>
                <w:color w:val="000000"/>
                <w:sz w:val="24"/>
                <w:szCs w:val="24"/>
              </w:rPr>
            </w:pPr>
            <w:r w:rsidRPr="00716CF1">
              <w:rPr>
                <w:rFonts w:ascii="Arial" w:hAnsi="Arial" w:cs="Arial"/>
                <w:color w:val="000000"/>
                <w:sz w:val="24"/>
                <w:szCs w:val="24"/>
              </w:rPr>
              <w:t xml:space="preserve">e) Continuing Reviews (renewals) of previously approved protocols or requests for modifications that would not require Full Review, regardless of the initial level of review  </w:t>
            </w:r>
          </w:p>
        </w:tc>
      </w:tr>
    </w:tbl>
    <w:p w:rsidR="00716CF1" w:rsidP="00716CF1" w14:paraId="3DD1A8E8" w14:textId="77777777"/>
    <w:p w:rsidR="00716CF1" w:rsidP="00716CF1" w14:paraId="3DD1A8E9" w14:textId="77777777"/>
    <w:tbl>
      <w:tblPr>
        <w:tblW w:w="9614" w:type="dxa"/>
        <w:tblInd w:w="9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9614"/>
      </w:tblGrid>
      <w:tr w14:paraId="3DD1A8EB" w14:textId="77777777" w:rsidTr="007A155A">
        <w:tblPrEx>
          <w:tblW w:w="9614" w:type="dxa"/>
          <w:tblInd w:w="93" w:type="dxa"/>
          <w:tblLook w:val="04A0"/>
        </w:tblPrEx>
        <w:tc>
          <w:tcPr>
            <w:tcW w:w="0" w:type="auto"/>
            <w:tcBorders>
              <w:top w:val="single" w:sz="4" w:space="0" w:color="A6A6A6"/>
            </w:tcBorders>
            <w:shd w:val="clear" w:color="auto" w:fill="BFBFBF"/>
            <w:hideMark/>
          </w:tcPr>
          <w:p w:rsidR="00716CF1" w:rsidRPr="00716CF1" w:rsidP="007A155A" w14:paraId="3DD1A8EA" w14:textId="77777777">
            <w:pPr>
              <w:spacing w:after="120"/>
              <w:rPr>
                <w:rFonts w:ascii="Arial" w:hAnsi="Arial" w:cs="Arial"/>
                <w:color w:val="111011"/>
                <w:sz w:val="24"/>
                <w:szCs w:val="24"/>
              </w:rPr>
            </w:pPr>
            <w:r w:rsidRPr="00716CF1">
              <w:rPr>
                <w:rFonts w:ascii="Arial" w:hAnsi="Arial" w:cs="Arial"/>
                <w:bCs/>
                <w:color w:val="000000"/>
                <w:sz w:val="24"/>
                <w:szCs w:val="24"/>
              </w:rPr>
              <w:t>IV.B.2. Full Committee Review</w:t>
            </w:r>
          </w:p>
        </w:tc>
      </w:tr>
      <w:tr w14:paraId="3DD1A8F4" w14:textId="77777777" w:rsidTr="007A155A">
        <w:tblPrEx>
          <w:tblW w:w="9614" w:type="dxa"/>
          <w:tblInd w:w="93" w:type="dxa"/>
          <w:tblLook w:val="04A0"/>
        </w:tblPrEx>
        <w:tc>
          <w:tcPr>
            <w:tcW w:w="0" w:type="auto"/>
            <w:shd w:val="clear" w:color="auto" w:fill="auto"/>
          </w:tcPr>
          <w:p w:rsidR="00716CF1" w:rsidRPr="00716CF1" w:rsidP="007A155A" w14:paraId="3DD1A8EC" w14:textId="77777777">
            <w:pPr>
              <w:spacing w:after="120"/>
              <w:rPr>
                <w:rFonts w:ascii="Arial" w:hAnsi="Arial" w:cs="Arial"/>
                <w:color w:val="000000"/>
                <w:sz w:val="24"/>
                <w:szCs w:val="24"/>
              </w:rPr>
            </w:pPr>
            <w:r w:rsidRPr="00716CF1">
              <w:rPr>
                <w:rFonts w:ascii="Arial" w:hAnsi="Arial" w:cs="Arial"/>
                <w:color w:val="000000"/>
                <w:sz w:val="24"/>
                <w:szCs w:val="24"/>
              </w:rPr>
              <w:t>Review by the convened SCRO Committee is required for any protocol not described in Section IV.B.1, IV.B.3, and IV.B.4. For example:</w:t>
            </w:r>
          </w:p>
          <w:p w:rsidR="00716CF1" w:rsidRPr="00716CF1" w:rsidP="007A155A" w14:paraId="3DD1A8ED" w14:textId="77777777">
            <w:pPr>
              <w:spacing w:after="120"/>
              <w:ind w:left="211" w:hanging="180"/>
              <w:rPr>
                <w:rFonts w:ascii="Arial" w:hAnsi="Arial" w:cs="Arial"/>
                <w:color w:val="000000"/>
                <w:sz w:val="24"/>
                <w:szCs w:val="24"/>
              </w:rPr>
            </w:pPr>
            <w:r w:rsidRPr="00716CF1">
              <w:rPr>
                <w:rFonts w:ascii="Arial" w:hAnsi="Arial" w:cs="Arial"/>
                <w:color w:val="000000"/>
                <w:sz w:val="24"/>
                <w:szCs w:val="24"/>
              </w:rPr>
              <w:t>a) Use of human embryonic and iPSC lines not previously approved by the MUSC SCRO committee, irrespective of de-identificat</w:t>
            </w:r>
            <w:r w:rsidRPr="00716CF1">
              <w:rPr>
                <w:rFonts w:ascii="Arial" w:hAnsi="Arial" w:cs="Arial"/>
                <w:color w:val="000000"/>
                <w:sz w:val="24"/>
                <w:szCs w:val="24"/>
              </w:rPr>
              <w:t xml:space="preserve">ion. </w:t>
            </w:r>
          </w:p>
          <w:p w:rsidR="00716CF1" w:rsidRPr="00716CF1" w:rsidP="007A155A" w14:paraId="3DD1A8EE" w14:textId="77777777">
            <w:pPr>
              <w:spacing w:after="120"/>
              <w:ind w:left="211" w:hanging="180"/>
              <w:rPr>
                <w:rFonts w:ascii="Arial" w:hAnsi="Arial" w:cs="Arial"/>
                <w:color w:val="000000"/>
                <w:sz w:val="24"/>
                <w:szCs w:val="24"/>
              </w:rPr>
            </w:pPr>
            <w:r w:rsidRPr="00716CF1">
              <w:rPr>
                <w:rFonts w:ascii="Arial" w:hAnsi="Arial" w:cs="Arial"/>
                <w:color w:val="000000"/>
                <w:sz w:val="24"/>
                <w:szCs w:val="24"/>
              </w:rPr>
              <w:t xml:space="preserve">b) Derivation of any pluripotent or multipotent stem cell lines by any means. </w:t>
            </w:r>
          </w:p>
          <w:p w:rsidR="00716CF1" w:rsidRPr="00716CF1" w:rsidP="007A155A" w14:paraId="3DD1A8EF" w14:textId="77777777">
            <w:pPr>
              <w:spacing w:after="120"/>
              <w:ind w:left="211" w:hanging="180"/>
              <w:rPr>
                <w:rFonts w:ascii="Arial" w:hAnsi="Arial" w:cs="Arial"/>
                <w:color w:val="000000"/>
                <w:sz w:val="24"/>
                <w:szCs w:val="24"/>
              </w:rPr>
            </w:pPr>
            <w:r w:rsidRPr="00716CF1">
              <w:rPr>
                <w:rFonts w:ascii="Arial" w:hAnsi="Arial" w:cs="Arial"/>
                <w:color w:val="000000"/>
                <w:sz w:val="24"/>
                <w:szCs w:val="24"/>
              </w:rPr>
              <w:t>c) Research involving processing of human adult stem cells that significantly modifies/alters their capabilities</w:t>
            </w:r>
          </w:p>
          <w:p w:rsidR="00716CF1" w:rsidRPr="00716CF1" w:rsidP="007A155A" w14:paraId="3DD1A8F0" w14:textId="77777777">
            <w:pPr>
              <w:spacing w:after="120"/>
              <w:ind w:left="211" w:hanging="180"/>
              <w:rPr>
                <w:rFonts w:ascii="Arial" w:hAnsi="Arial" w:cs="Arial"/>
                <w:color w:val="000000"/>
                <w:sz w:val="24"/>
                <w:szCs w:val="24"/>
              </w:rPr>
            </w:pPr>
            <w:r w:rsidRPr="00716CF1">
              <w:rPr>
                <w:rFonts w:ascii="Arial" w:hAnsi="Arial" w:cs="Arial"/>
                <w:color w:val="000000"/>
                <w:sz w:val="24"/>
                <w:szCs w:val="24"/>
              </w:rPr>
              <w:t>d) Human totipotent cells or pluripotent stem cells that a</w:t>
            </w:r>
            <w:r w:rsidRPr="00716CF1">
              <w:rPr>
                <w:rFonts w:ascii="Arial" w:hAnsi="Arial" w:cs="Arial"/>
                <w:color w:val="000000"/>
                <w:sz w:val="24"/>
                <w:szCs w:val="24"/>
              </w:rPr>
              <w:t>re mixed with pre-implantation human embryos. In no case shall such experiments be allowed to progress for more than 14 days of development in vitro, or past the point of primitive streak formation, whichever is first.</w:t>
            </w:r>
          </w:p>
          <w:p w:rsidR="00716CF1" w:rsidRPr="00716CF1" w:rsidP="007A155A" w14:paraId="3DD1A8F1" w14:textId="77777777">
            <w:pPr>
              <w:spacing w:after="120"/>
              <w:ind w:left="211" w:hanging="180"/>
              <w:rPr>
                <w:rFonts w:ascii="Arial" w:hAnsi="Arial" w:cs="Arial"/>
                <w:color w:val="000000"/>
                <w:sz w:val="24"/>
                <w:szCs w:val="24"/>
              </w:rPr>
            </w:pPr>
            <w:r w:rsidRPr="00716CF1">
              <w:rPr>
                <w:rFonts w:ascii="Arial" w:hAnsi="Arial" w:cs="Arial"/>
                <w:color w:val="000000"/>
                <w:sz w:val="24"/>
                <w:szCs w:val="24"/>
              </w:rPr>
              <w:t>e) Clinical research in which cells o</w:t>
            </w:r>
            <w:r w:rsidRPr="00716CF1">
              <w:rPr>
                <w:rFonts w:ascii="Arial" w:hAnsi="Arial" w:cs="Arial"/>
                <w:color w:val="000000"/>
                <w:sz w:val="24"/>
                <w:szCs w:val="24"/>
              </w:rPr>
              <w:t>f totipotent or pluripotent human origin are transplanted into living human subjects.</w:t>
            </w:r>
            <w:r w:rsidRPr="00716CF1">
              <w:rPr>
                <w:rFonts w:ascii="Arial" w:hAnsi="Arial" w:cs="Arial"/>
                <w:color w:val="000000"/>
                <w:sz w:val="24"/>
                <w:szCs w:val="24"/>
              </w:rPr>
              <w:br/>
              <w:t>NOTE: Transplantation of stem cells as part of recognized and accepted medical treatment for a disease or condition will not need SCRO review;</w:t>
            </w:r>
          </w:p>
          <w:p w:rsidR="00716CF1" w:rsidRPr="00716CF1" w:rsidP="007A155A" w14:paraId="3DD1A8F2" w14:textId="77777777">
            <w:pPr>
              <w:spacing w:after="120"/>
              <w:ind w:left="211" w:hanging="180"/>
              <w:rPr>
                <w:rFonts w:ascii="Arial" w:hAnsi="Arial" w:cs="Arial"/>
                <w:color w:val="000000"/>
                <w:sz w:val="24"/>
                <w:szCs w:val="24"/>
              </w:rPr>
            </w:pPr>
            <w:r w:rsidRPr="00716CF1">
              <w:rPr>
                <w:rFonts w:ascii="Arial" w:hAnsi="Arial" w:cs="Arial"/>
                <w:color w:val="000000"/>
                <w:sz w:val="24"/>
                <w:szCs w:val="24"/>
              </w:rPr>
              <w:t>g) Research involving the i</w:t>
            </w:r>
            <w:r w:rsidRPr="00716CF1">
              <w:rPr>
                <w:rFonts w:ascii="Arial" w:hAnsi="Arial" w:cs="Arial"/>
                <w:color w:val="000000"/>
                <w:sz w:val="24"/>
                <w:szCs w:val="24"/>
              </w:rPr>
              <w:t>ntroduction of hPSCs into animals (other than humans or primates, see Prohibited Research) at any stage of embryonic, fetal, or postnatal development and in which there is a significant possibility that the implanted cells could give rise to neural or game</w:t>
            </w:r>
            <w:r w:rsidRPr="00716CF1">
              <w:rPr>
                <w:rFonts w:ascii="Arial" w:hAnsi="Arial" w:cs="Arial"/>
                <w:color w:val="000000"/>
                <w:sz w:val="24"/>
                <w:szCs w:val="24"/>
              </w:rPr>
              <w:t>tic cells and tissues.</w:t>
            </w:r>
          </w:p>
          <w:p w:rsidR="00716CF1" w:rsidRPr="00716CF1" w:rsidP="007A155A" w14:paraId="3DD1A8F3" w14:textId="77777777">
            <w:pPr>
              <w:spacing w:after="120"/>
              <w:ind w:left="211" w:hanging="180"/>
              <w:rPr>
                <w:rFonts w:ascii="Arial" w:hAnsi="Arial" w:cs="Arial"/>
                <w:color w:val="000000"/>
                <w:sz w:val="24"/>
                <w:szCs w:val="24"/>
              </w:rPr>
            </w:pPr>
            <w:r w:rsidRPr="00716CF1">
              <w:rPr>
                <w:rFonts w:ascii="Arial" w:hAnsi="Arial" w:cs="Arial"/>
                <w:color w:val="000000"/>
                <w:sz w:val="24"/>
                <w:szCs w:val="24"/>
              </w:rPr>
              <w:t xml:space="preserve">h) Introduction of human neural stem cells into the central nervous system of any non-human animal (pre- or perinatal) if such progenitors are suspected or documented to have "transdifferentiative" potential </w:t>
            </w:r>
            <w:r w:rsidRPr="00716CF1">
              <w:rPr>
                <w:rFonts w:ascii="Arial" w:hAnsi="Arial" w:cs="Arial"/>
                <w:i/>
                <w:color w:val="000000"/>
                <w:sz w:val="24"/>
                <w:szCs w:val="24"/>
              </w:rPr>
              <w:t>in vivo</w:t>
            </w:r>
            <w:r w:rsidRPr="00716CF1">
              <w:rPr>
                <w:rFonts w:ascii="Arial" w:hAnsi="Arial" w:cs="Arial"/>
                <w:color w:val="000000"/>
                <w:sz w:val="24"/>
                <w:szCs w:val="24"/>
              </w:rPr>
              <w:t xml:space="preserve"> (greater potency </w:t>
            </w:r>
            <w:r w:rsidRPr="00716CF1">
              <w:rPr>
                <w:rFonts w:ascii="Arial" w:hAnsi="Arial" w:cs="Arial"/>
                <w:color w:val="000000"/>
                <w:sz w:val="24"/>
                <w:szCs w:val="24"/>
              </w:rPr>
              <w:t xml:space="preserve">than anticipated </w:t>
            </w:r>
            <w:r w:rsidRPr="00716CF1">
              <w:rPr>
                <w:rFonts w:ascii="Arial" w:hAnsi="Arial" w:cs="Arial"/>
                <w:i/>
                <w:color w:val="000000"/>
                <w:sz w:val="24"/>
                <w:szCs w:val="24"/>
              </w:rPr>
              <w:t>in vitro</w:t>
            </w:r>
            <w:r w:rsidRPr="00716CF1">
              <w:rPr>
                <w:rFonts w:ascii="Arial" w:hAnsi="Arial" w:cs="Arial"/>
                <w:color w:val="000000"/>
                <w:sz w:val="24"/>
                <w:szCs w:val="24"/>
              </w:rPr>
              <w:t>).</w:t>
            </w:r>
            <w:r w:rsidRPr="00716CF1">
              <w:rPr>
                <w:rFonts w:ascii="Arial" w:hAnsi="Arial" w:cs="Arial"/>
                <w:color w:val="000000"/>
                <w:sz w:val="24"/>
                <w:szCs w:val="24"/>
              </w:rPr>
              <w:br/>
              <w:t>NOTE: this includes neural stem cells from any source, including but not limited to hES cells, non-embryonic hPSCs, fetal tissue, adult somatic cells, and other non-embryonic sources.</w:t>
            </w:r>
          </w:p>
        </w:tc>
      </w:tr>
    </w:tbl>
    <w:p w:rsidR="00716CF1" w:rsidP="00716CF1" w14:paraId="3DD1A8F5" w14:textId="77777777"/>
    <w:p w:rsidR="00716CF1" w:rsidP="00716CF1" w14:paraId="3DD1A8F6" w14:textId="77777777"/>
    <w:tbl>
      <w:tblPr>
        <w:tblW w:w="9614" w:type="dxa"/>
        <w:tblInd w:w="9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9614"/>
      </w:tblGrid>
      <w:tr w14:paraId="3DD1A8F8" w14:textId="77777777" w:rsidTr="007A155A">
        <w:tblPrEx>
          <w:tblW w:w="9614" w:type="dxa"/>
          <w:tblInd w:w="93" w:type="dxa"/>
          <w:tblLook w:val="04A0"/>
        </w:tblPrEx>
        <w:tc>
          <w:tcPr>
            <w:tcW w:w="0" w:type="auto"/>
            <w:shd w:val="clear" w:color="auto" w:fill="BFBFBF"/>
          </w:tcPr>
          <w:p w:rsidR="00716CF1" w:rsidRPr="00716CF1" w:rsidP="007A155A" w14:paraId="3DD1A8F7" w14:textId="77777777">
            <w:pPr>
              <w:spacing w:after="120"/>
              <w:rPr>
                <w:rFonts w:ascii="Arial" w:hAnsi="Arial" w:cs="Arial"/>
                <w:color w:val="000000"/>
                <w:sz w:val="24"/>
                <w:szCs w:val="24"/>
              </w:rPr>
            </w:pPr>
            <w:r w:rsidRPr="00716CF1">
              <w:rPr>
                <w:rFonts w:ascii="Arial" w:hAnsi="Arial" w:cs="Arial"/>
                <w:bCs/>
                <w:color w:val="000000"/>
                <w:sz w:val="24"/>
                <w:szCs w:val="24"/>
              </w:rPr>
              <w:t>IV.B.3. Administrative Review of Changes to Approved Proposals</w:t>
            </w:r>
          </w:p>
        </w:tc>
      </w:tr>
      <w:tr w14:paraId="3DD1A8FC" w14:textId="77777777" w:rsidTr="007A155A">
        <w:tblPrEx>
          <w:tblW w:w="9614" w:type="dxa"/>
          <w:tblInd w:w="93" w:type="dxa"/>
          <w:tblLook w:val="04A0"/>
        </w:tblPrEx>
        <w:tc>
          <w:tcPr>
            <w:tcW w:w="0" w:type="auto"/>
            <w:shd w:val="clear" w:color="auto" w:fill="auto"/>
            <w:hideMark/>
          </w:tcPr>
          <w:p w:rsidR="00716CF1" w:rsidRPr="00716CF1" w:rsidP="007A155A" w14:paraId="3DD1A8F9" w14:textId="77777777">
            <w:pPr>
              <w:spacing w:after="120"/>
              <w:ind w:left="211" w:hanging="211"/>
              <w:rPr>
                <w:rFonts w:ascii="Arial" w:hAnsi="Arial" w:cs="Arial"/>
                <w:color w:val="000000"/>
                <w:sz w:val="24"/>
                <w:szCs w:val="24"/>
              </w:rPr>
            </w:pPr>
            <w:r w:rsidRPr="00716CF1">
              <w:rPr>
                <w:rFonts w:ascii="Arial" w:hAnsi="Arial" w:cs="Arial"/>
                <w:color w:val="000000"/>
                <w:sz w:val="24"/>
                <w:szCs w:val="24"/>
              </w:rPr>
              <w:t>a) Change of personnel named in the Application.</w:t>
            </w:r>
          </w:p>
          <w:p w:rsidR="00716CF1" w:rsidRPr="00716CF1" w:rsidP="007A155A" w14:paraId="3DD1A8FA" w14:textId="77777777">
            <w:pPr>
              <w:spacing w:after="120"/>
              <w:ind w:left="211" w:hanging="211"/>
              <w:rPr>
                <w:rFonts w:ascii="Arial" w:hAnsi="Arial" w:cs="Arial"/>
                <w:color w:val="000000"/>
                <w:sz w:val="24"/>
                <w:szCs w:val="24"/>
              </w:rPr>
            </w:pPr>
            <w:r w:rsidRPr="00716CF1">
              <w:rPr>
                <w:rFonts w:ascii="Arial" w:hAnsi="Arial" w:cs="Arial"/>
                <w:color w:val="000000"/>
                <w:sz w:val="24"/>
                <w:szCs w:val="24"/>
              </w:rPr>
              <w:t xml:space="preserve">b) Grammatical corrections or clarifications to the study documents. </w:t>
            </w:r>
          </w:p>
          <w:p w:rsidR="00716CF1" w:rsidRPr="00716CF1" w:rsidP="007A155A" w14:paraId="3DD1A8FB" w14:textId="77777777">
            <w:pPr>
              <w:spacing w:after="120"/>
              <w:ind w:left="211" w:hanging="211"/>
              <w:rPr>
                <w:rFonts w:ascii="Arial" w:hAnsi="Arial" w:cs="Arial"/>
                <w:color w:val="111011"/>
                <w:sz w:val="24"/>
                <w:szCs w:val="24"/>
              </w:rPr>
            </w:pPr>
            <w:r w:rsidRPr="00716CF1">
              <w:rPr>
                <w:rFonts w:ascii="Arial" w:hAnsi="Arial" w:cs="Arial"/>
                <w:color w:val="000000"/>
                <w:sz w:val="24"/>
                <w:szCs w:val="24"/>
              </w:rPr>
              <w:t>NOTE: Change of PI requires Expedited Review.</w:t>
            </w:r>
          </w:p>
        </w:tc>
      </w:tr>
    </w:tbl>
    <w:p w:rsidR="00716CF1" w:rsidP="00716CF1" w14:paraId="3DD1A8FD" w14:textId="77777777"/>
    <w:p w:rsidR="00716CF1" w:rsidP="00716CF1" w14:paraId="3DD1A8FE" w14:textId="77777777"/>
    <w:tbl>
      <w:tblPr>
        <w:tblW w:w="9614" w:type="dxa"/>
        <w:tblInd w:w="9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9614"/>
      </w:tblGrid>
      <w:tr w14:paraId="3DD1A900" w14:textId="77777777" w:rsidTr="007A155A">
        <w:tblPrEx>
          <w:tblW w:w="9614" w:type="dxa"/>
          <w:tblInd w:w="93" w:type="dxa"/>
          <w:tblLook w:val="04A0"/>
        </w:tblPrEx>
        <w:tc>
          <w:tcPr>
            <w:tcW w:w="0" w:type="auto"/>
            <w:tcBorders>
              <w:bottom w:val="single" w:sz="4" w:space="0" w:color="A6A6A6"/>
            </w:tcBorders>
            <w:shd w:val="clear" w:color="auto" w:fill="BFBFBF"/>
            <w:hideMark/>
          </w:tcPr>
          <w:p w:rsidR="00716CF1" w:rsidRPr="00716CF1" w:rsidP="007A155A" w14:paraId="3DD1A8FF" w14:textId="77777777">
            <w:pPr>
              <w:spacing w:after="120"/>
              <w:rPr>
                <w:rFonts w:ascii="Arial" w:hAnsi="Arial" w:cs="Arial"/>
                <w:color w:val="111011"/>
                <w:sz w:val="24"/>
                <w:szCs w:val="24"/>
              </w:rPr>
            </w:pPr>
            <w:r w:rsidRPr="00716CF1">
              <w:rPr>
                <w:rFonts w:ascii="Arial" w:hAnsi="Arial" w:cs="Arial"/>
                <w:bCs/>
                <w:color w:val="000000"/>
                <w:sz w:val="24"/>
                <w:szCs w:val="24"/>
              </w:rPr>
              <w:t xml:space="preserve">IV.B.4. </w:t>
            </w:r>
            <w:r w:rsidRPr="00716CF1">
              <w:rPr>
                <w:rFonts w:ascii="Arial" w:hAnsi="Arial" w:cs="Arial"/>
                <w:bCs/>
                <w:color w:val="000000"/>
                <w:sz w:val="24"/>
                <w:szCs w:val="24"/>
              </w:rPr>
              <w:t>Prohibited Research</w:t>
            </w:r>
          </w:p>
        </w:tc>
      </w:tr>
      <w:tr w14:paraId="3DD1A902" w14:textId="77777777" w:rsidTr="007A155A">
        <w:tblPrEx>
          <w:tblW w:w="9614" w:type="dxa"/>
          <w:tblInd w:w="93" w:type="dxa"/>
          <w:tblLook w:val="04A0"/>
        </w:tblPrEx>
        <w:tc>
          <w:tcPr>
            <w:tcW w:w="0" w:type="auto"/>
            <w:tcBorders>
              <w:top w:val="single" w:sz="4" w:space="0" w:color="A6A6A6"/>
              <w:left w:val="single" w:sz="4" w:space="0" w:color="A6A6A6"/>
              <w:bottom w:val="nil"/>
              <w:right w:val="single" w:sz="4" w:space="0" w:color="A6A6A6"/>
            </w:tcBorders>
            <w:shd w:val="clear" w:color="auto" w:fill="auto"/>
          </w:tcPr>
          <w:p w:rsidR="00716CF1" w:rsidRPr="00716CF1" w:rsidP="007A155A" w14:paraId="3DD1A901" w14:textId="77777777">
            <w:pPr>
              <w:spacing w:after="120"/>
              <w:rPr>
                <w:rFonts w:ascii="Arial" w:hAnsi="Arial" w:cs="Arial"/>
                <w:color w:val="000000"/>
                <w:sz w:val="24"/>
                <w:szCs w:val="24"/>
              </w:rPr>
            </w:pPr>
            <w:r w:rsidRPr="00716CF1">
              <w:rPr>
                <w:rFonts w:ascii="Arial" w:hAnsi="Arial" w:cs="Arial"/>
                <w:color w:val="000000"/>
                <w:sz w:val="24"/>
                <w:szCs w:val="24"/>
              </w:rPr>
              <w:t xml:space="preserve">Research not allowed to be conducted at MUSC at this time, </w:t>
            </w:r>
            <w:r w:rsidRPr="00716CF1">
              <w:rPr>
                <w:rFonts w:ascii="Arial" w:hAnsi="Arial" w:cs="Arial"/>
                <w:b/>
                <w:color w:val="000000"/>
                <w:sz w:val="24"/>
                <w:szCs w:val="24"/>
              </w:rPr>
              <w:t>regardless of funding source</w:t>
            </w:r>
            <w:r w:rsidRPr="00716CF1">
              <w:rPr>
                <w:rFonts w:ascii="Arial" w:hAnsi="Arial" w:cs="Arial"/>
                <w:color w:val="000000"/>
                <w:sz w:val="24"/>
                <w:szCs w:val="24"/>
              </w:rPr>
              <w:t>:</w:t>
            </w:r>
          </w:p>
        </w:tc>
      </w:tr>
      <w:tr w14:paraId="3DD1A90B" w14:textId="77777777" w:rsidTr="007A155A">
        <w:tblPrEx>
          <w:tblW w:w="9614" w:type="dxa"/>
          <w:tblInd w:w="93" w:type="dxa"/>
          <w:tblLook w:val="04A0"/>
        </w:tblPrEx>
        <w:tc>
          <w:tcPr>
            <w:tcW w:w="0" w:type="auto"/>
            <w:tcBorders>
              <w:top w:val="nil"/>
              <w:left w:val="single" w:sz="4" w:space="0" w:color="A6A6A6"/>
              <w:bottom w:val="single" w:sz="4" w:space="0" w:color="A6A6A6"/>
              <w:right w:val="single" w:sz="4" w:space="0" w:color="A6A6A6"/>
            </w:tcBorders>
            <w:shd w:val="clear" w:color="auto" w:fill="auto"/>
            <w:hideMark/>
          </w:tcPr>
          <w:p w:rsidR="00716CF1" w:rsidRPr="00716CF1" w:rsidP="00716CF1" w14:paraId="3DD1A903" w14:textId="77777777">
            <w:pPr>
              <w:pStyle w:val="ListParagraph"/>
              <w:widowControl/>
              <w:numPr>
                <w:ilvl w:val="0"/>
                <w:numId w:val="10"/>
              </w:numPr>
              <w:spacing w:after="120"/>
              <w:contextualSpacing/>
              <w:rPr>
                <w:rFonts w:ascii="Arial" w:hAnsi="Arial" w:cs="Arial"/>
                <w:color w:val="000000"/>
                <w:sz w:val="24"/>
                <w:szCs w:val="24"/>
              </w:rPr>
            </w:pPr>
            <w:r w:rsidRPr="00716CF1">
              <w:rPr>
                <w:rFonts w:ascii="Arial" w:hAnsi="Arial" w:cs="Arial"/>
                <w:color w:val="000000"/>
                <w:sz w:val="24"/>
                <w:szCs w:val="24"/>
              </w:rPr>
              <w:t xml:space="preserve">Research involving in vitro culture of any intact human embryo, regardless of method of creation, for longer than 14 days or until formation of the primitive streak begins, whichever occurs first.  </w:t>
            </w:r>
          </w:p>
          <w:p w:rsidR="00716CF1" w:rsidRPr="00716CF1" w:rsidP="00716CF1" w14:paraId="3DD1A904" w14:textId="77777777">
            <w:pPr>
              <w:pStyle w:val="ListParagraph"/>
              <w:widowControl/>
              <w:numPr>
                <w:ilvl w:val="0"/>
                <w:numId w:val="10"/>
              </w:numPr>
              <w:spacing w:after="120"/>
              <w:contextualSpacing/>
              <w:rPr>
                <w:rFonts w:ascii="Arial" w:hAnsi="Arial" w:cs="Arial"/>
                <w:color w:val="000000"/>
                <w:sz w:val="24"/>
                <w:szCs w:val="24"/>
              </w:rPr>
            </w:pPr>
            <w:r w:rsidRPr="00716CF1">
              <w:rPr>
                <w:rFonts w:ascii="Arial" w:hAnsi="Arial" w:cs="Arial"/>
                <w:color w:val="000000"/>
                <w:sz w:val="24"/>
                <w:szCs w:val="24"/>
              </w:rPr>
              <w:t>Experiments that involve transplantation of human pluripo</w:t>
            </w:r>
            <w:r w:rsidRPr="00716CF1">
              <w:rPr>
                <w:rFonts w:ascii="Arial" w:hAnsi="Arial" w:cs="Arial"/>
                <w:color w:val="000000"/>
                <w:sz w:val="24"/>
                <w:szCs w:val="24"/>
              </w:rPr>
              <w:t>tent stem cells into human blastocysts.</w:t>
            </w:r>
          </w:p>
          <w:p w:rsidR="00716CF1" w:rsidRPr="00716CF1" w:rsidP="00716CF1" w14:paraId="3DD1A905" w14:textId="77777777">
            <w:pPr>
              <w:pStyle w:val="ListParagraph"/>
              <w:widowControl/>
              <w:numPr>
                <w:ilvl w:val="0"/>
                <w:numId w:val="10"/>
              </w:numPr>
              <w:spacing w:after="120"/>
              <w:contextualSpacing/>
              <w:rPr>
                <w:rFonts w:ascii="Arial" w:hAnsi="Arial" w:cs="Arial"/>
                <w:color w:val="000000"/>
                <w:sz w:val="24"/>
                <w:szCs w:val="24"/>
              </w:rPr>
            </w:pPr>
            <w:r w:rsidRPr="00716CF1">
              <w:rPr>
                <w:rFonts w:ascii="Arial" w:hAnsi="Arial" w:cs="Arial"/>
                <w:color w:val="000000"/>
                <w:sz w:val="24"/>
                <w:szCs w:val="24"/>
              </w:rPr>
              <w:t xml:space="preserve">Transfer into a human or non-human uterus of experimentally created human or cybrid (a cell with a human nucleus and the cytoplasm of another species) embryos made by any method. </w:t>
            </w:r>
          </w:p>
          <w:p w:rsidR="00716CF1" w:rsidRPr="00716CF1" w:rsidP="00716CF1" w14:paraId="3DD1A906" w14:textId="77777777">
            <w:pPr>
              <w:pStyle w:val="ListParagraph"/>
              <w:widowControl/>
              <w:numPr>
                <w:ilvl w:val="0"/>
                <w:numId w:val="10"/>
              </w:numPr>
              <w:spacing w:after="120"/>
              <w:contextualSpacing/>
              <w:rPr>
                <w:rFonts w:ascii="Arial" w:hAnsi="Arial" w:cs="Arial"/>
                <w:color w:val="000000"/>
                <w:sz w:val="24"/>
                <w:szCs w:val="24"/>
              </w:rPr>
            </w:pPr>
            <w:r w:rsidRPr="00716CF1">
              <w:rPr>
                <w:rFonts w:ascii="Arial" w:hAnsi="Arial" w:cs="Arial"/>
                <w:color w:val="000000"/>
                <w:sz w:val="24"/>
                <w:szCs w:val="24"/>
              </w:rPr>
              <w:t>the following categories of research</w:t>
            </w:r>
            <w:r w:rsidRPr="00716CF1">
              <w:rPr>
                <w:rFonts w:ascii="Arial" w:hAnsi="Arial" w:cs="Arial"/>
                <w:color w:val="000000"/>
                <w:sz w:val="24"/>
                <w:szCs w:val="24"/>
              </w:rPr>
              <w:t xml:space="preserve"> unless there is strong scientific rationale and ethical basis for the proposal:</w:t>
            </w:r>
          </w:p>
          <w:p w:rsidR="00716CF1" w:rsidRPr="00716CF1" w:rsidP="00716CF1" w14:paraId="3DD1A907" w14:textId="77777777">
            <w:pPr>
              <w:pStyle w:val="ListParagraph"/>
              <w:widowControl/>
              <w:numPr>
                <w:ilvl w:val="1"/>
                <w:numId w:val="11"/>
              </w:numPr>
              <w:spacing w:after="120"/>
              <w:contextualSpacing/>
              <w:rPr>
                <w:rFonts w:ascii="Arial" w:hAnsi="Arial" w:cs="Arial"/>
                <w:color w:val="000000"/>
                <w:sz w:val="24"/>
                <w:szCs w:val="24"/>
              </w:rPr>
            </w:pPr>
            <w:r w:rsidRPr="00716CF1">
              <w:rPr>
                <w:rFonts w:ascii="Arial" w:hAnsi="Arial" w:cs="Arial"/>
                <w:color w:val="000000"/>
                <w:sz w:val="24"/>
                <w:szCs w:val="24"/>
              </w:rPr>
              <w:t xml:space="preserve">research in which human pluripotent stem cells are introduced into mammalian (including non-human primate) blastocysts </w:t>
            </w:r>
          </w:p>
          <w:p w:rsidR="00716CF1" w:rsidRPr="00716CF1" w:rsidP="00716CF1" w14:paraId="3DD1A908" w14:textId="77777777">
            <w:pPr>
              <w:pStyle w:val="ListParagraph"/>
              <w:widowControl/>
              <w:numPr>
                <w:ilvl w:val="1"/>
                <w:numId w:val="11"/>
              </w:numPr>
              <w:spacing w:after="120"/>
              <w:contextualSpacing/>
              <w:rPr>
                <w:rFonts w:ascii="Arial" w:hAnsi="Arial" w:cs="Arial"/>
                <w:color w:val="000000"/>
                <w:sz w:val="24"/>
                <w:szCs w:val="24"/>
              </w:rPr>
            </w:pPr>
            <w:r w:rsidRPr="00716CF1">
              <w:rPr>
                <w:rFonts w:ascii="Arial" w:hAnsi="Arial" w:cs="Arial"/>
                <w:color w:val="000000"/>
                <w:sz w:val="24"/>
                <w:szCs w:val="24"/>
              </w:rPr>
              <w:t>breeding of animals into which human pluripotent stem cells have been introduced</w:t>
            </w:r>
          </w:p>
          <w:p w:rsidR="00716CF1" w:rsidRPr="00716CF1" w:rsidP="00716CF1" w14:paraId="3DD1A909" w14:textId="77777777">
            <w:pPr>
              <w:pStyle w:val="ListParagraph"/>
              <w:widowControl/>
              <w:numPr>
                <w:ilvl w:val="1"/>
                <w:numId w:val="11"/>
              </w:numPr>
              <w:spacing w:after="120"/>
              <w:contextualSpacing/>
              <w:rPr>
                <w:rFonts w:ascii="Arial" w:hAnsi="Arial" w:cs="Arial"/>
                <w:color w:val="000000"/>
                <w:sz w:val="24"/>
                <w:szCs w:val="24"/>
              </w:rPr>
            </w:pPr>
            <w:r w:rsidRPr="00716CF1">
              <w:rPr>
                <w:rFonts w:ascii="Arial" w:hAnsi="Arial" w:cs="Arial"/>
                <w:color w:val="000000"/>
                <w:sz w:val="24"/>
                <w:szCs w:val="24"/>
              </w:rPr>
              <w:t>human stem cell research deemed ineligible by the Natio</w:t>
            </w:r>
            <w:r w:rsidRPr="00716CF1">
              <w:rPr>
                <w:rFonts w:ascii="Arial" w:hAnsi="Arial" w:cs="Arial"/>
                <w:color w:val="000000"/>
                <w:sz w:val="24"/>
                <w:szCs w:val="24"/>
              </w:rPr>
              <w:t>nal Institutes of Health</w:t>
            </w:r>
          </w:p>
          <w:p w:rsidR="00716CF1" w:rsidRPr="00716CF1" w:rsidP="007A155A" w14:paraId="3DD1A90A" w14:textId="77777777">
            <w:pPr>
              <w:pStyle w:val="ListParagraph"/>
              <w:rPr>
                <w:rFonts w:ascii="Arial" w:hAnsi="Arial" w:cs="Arial"/>
                <w:color w:val="111011"/>
                <w:sz w:val="24"/>
                <w:szCs w:val="24"/>
              </w:rPr>
            </w:pPr>
          </w:p>
        </w:tc>
      </w:tr>
    </w:tbl>
    <w:p w:rsidR="00716CF1" w:rsidRPr="00D503E9" w:rsidP="00716CF1" w14:paraId="3DD1A90C" w14:textId="77777777">
      <w:pPr>
        <w:pStyle w:val="MediumGrid1-Accent21"/>
        <w:spacing w:before="240" w:after="240"/>
        <w:ind w:left="907"/>
        <w:contextualSpacing w:val="0"/>
        <w:outlineLvl w:val="1"/>
        <w:rPr>
          <w:rFonts w:cs="Arial"/>
          <w:b/>
        </w:rPr>
      </w:pPr>
    </w:p>
    <w:p w:rsidR="00716CF1" w:rsidRPr="00D503E9" w:rsidP="00716CF1" w14:paraId="3DD1A90D" w14:textId="77777777">
      <w:pPr>
        <w:pStyle w:val="MediumGrid1-Accent21"/>
        <w:numPr>
          <w:ilvl w:val="1"/>
          <w:numId w:val="6"/>
        </w:numPr>
        <w:spacing w:before="240" w:after="240"/>
        <w:ind w:left="907"/>
        <w:contextualSpacing w:val="0"/>
        <w:outlineLvl w:val="1"/>
        <w:rPr>
          <w:rFonts w:cs="Arial"/>
          <w:b/>
        </w:rPr>
      </w:pPr>
      <w:bookmarkStart w:id="6" w:name="_Toc476202282"/>
      <w:r w:rsidRPr="00D503E9">
        <w:rPr>
          <w:rFonts w:cs="Arial"/>
          <w:b/>
        </w:rPr>
        <w:t>Review Procedures</w:t>
      </w:r>
      <w:bookmarkEnd w:id="6"/>
    </w:p>
    <w:p w:rsidR="00716CF1" w:rsidP="00716CF1" w14:paraId="3DD1A90E" w14:textId="77777777">
      <w:pPr>
        <w:pStyle w:val="MediumGrid1-Accent21"/>
        <w:numPr>
          <w:ilvl w:val="2"/>
          <w:numId w:val="6"/>
        </w:numPr>
        <w:spacing w:before="240" w:after="240"/>
        <w:jc w:val="both"/>
      </w:pPr>
      <w:r w:rsidRPr="00D503E9">
        <w:rPr>
          <w:rFonts w:cs="Arial"/>
        </w:rPr>
        <w:t>Administrative reviews may be carried out by the SCRO Administrator. All adm</w:t>
      </w:r>
      <w:r w:rsidRPr="001F7E2E">
        <w:t>inistrative review approvals are formally</w:t>
      </w:r>
      <w:r>
        <w:t xml:space="preserve"> </w:t>
      </w:r>
      <w:r w:rsidRPr="001F7E2E">
        <w:t xml:space="preserve">reported </w:t>
      </w:r>
      <w:r>
        <w:t xml:space="preserve">monthly </w:t>
      </w:r>
      <w:r w:rsidRPr="001F7E2E">
        <w:t xml:space="preserve">in writing to the </w:t>
      </w:r>
      <w:r>
        <w:t>SCRO</w:t>
      </w:r>
      <w:r w:rsidRPr="001F7E2E">
        <w:t xml:space="preserve"> Committee</w:t>
      </w:r>
      <w:r>
        <w:t xml:space="preserve"> and the Director of the Office of Research Integrity</w:t>
      </w:r>
      <w:r w:rsidRPr="001F7E2E">
        <w:t>. Reports include the name of</w:t>
      </w:r>
      <w:r>
        <w:t xml:space="preserve"> </w:t>
      </w:r>
      <w:r w:rsidRPr="001F7E2E">
        <w:t>the PI, title of the protocol, and a short description of the protocol.</w:t>
      </w:r>
    </w:p>
    <w:p w:rsidR="00716CF1" w:rsidP="00716CF1" w14:paraId="3DD1A90F" w14:textId="77777777">
      <w:pPr>
        <w:pStyle w:val="MediumGrid1-Accent21"/>
        <w:spacing w:before="240" w:after="240"/>
        <w:ind w:left="1440"/>
        <w:jc w:val="both"/>
      </w:pPr>
    </w:p>
    <w:p w:rsidR="00716CF1" w:rsidRPr="00716CF1" w:rsidP="00716CF1" w14:paraId="3DD1A910" w14:textId="77777777">
      <w:pPr>
        <w:pStyle w:val="ListParagraph"/>
        <w:widowControl/>
        <w:numPr>
          <w:ilvl w:val="2"/>
          <w:numId w:val="6"/>
        </w:numPr>
        <w:contextualSpacing/>
        <w:rPr>
          <w:rFonts w:ascii="Arial" w:hAnsi="Arial" w:cs="Arial"/>
          <w:sz w:val="24"/>
          <w:szCs w:val="24"/>
        </w:rPr>
      </w:pPr>
      <w:r w:rsidRPr="00716CF1">
        <w:rPr>
          <w:rFonts w:ascii="Arial" w:hAnsi="Arial" w:cs="Arial"/>
          <w:sz w:val="24"/>
          <w:szCs w:val="24"/>
        </w:rPr>
        <w:t>Expedited reviews may be carried out by the SCRO Chair and by one or more reviewers (Designated Revi</w:t>
      </w:r>
      <w:r w:rsidRPr="00716CF1">
        <w:rPr>
          <w:rFonts w:ascii="Arial" w:hAnsi="Arial" w:cs="Arial"/>
          <w:sz w:val="24"/>
          <w:szCs w:val="24"/>
        </w:rPr>
        <w:t xml:space="preserve">ewer) selected from among members of the SCRO Committee. The SCRO Administrator assigns the Application to the Chair and Designated Reviewer who will recommend whether the protocol should be approved or should go to the full Committee for review. Approved </w:t>
      </w:r>
      <w:r w:rsidRPr="00716CF1">
        <w:rPr>
          <w:rFonts w:ascii="Arial" w:hAnsi="Arial" w:cs="Arial"/>
          <w:sz w:val="24"/>
          <w:szCs w:val="24"/>
        </w:rPr>
        <w:t>Expedited protocols will be presented to the full Committee at the next Committee meeting. An inclusive list of Expedited approved protocols will be made available to Committee Members upon request. Reviewers of Expedited applications may not disapprove pr</w:t>
      </w:r>
      <w:r w:rsidRPr="00716CF1">
        <w:rPr>
          <w:rFonts w:ascii="Arial" w:hAnsi="Arial" w:cs="Arial"/>
          <w:sz w:val="24"/>
          <w:szCs w:val="24"/>
        </w:rPr>
        <w:t xml:space="preserve">otocols (requires review by the full Committee). All expedited review approvals are formally reported monthly in writing to the Director of the Office of Research Integrity and the Vice President for Research.  </w:t>
      </w:r>
    </w:p>
    <w:p w:rsidR="00716CF1" w:rsidRPr="00716CF1" w:rsidP="00716CF1" w14:paraId="3DD1A911" w14:textId="77777777">
      <w:pPr>
        <w:pStyle w:val="MediumGrid1-Accent21"/>
        <w:rPr>
          <w:rFonts w:cs="Arial"/>
        </w:rPr>
      </w:pPr>
    </w:p>
    <w:p w:rsidR="00716CF1" w:rsidRPr="00716CF1" w:rsidP="00716CF1" w14:paraId="3DD1A912" w14:textId="77777777">
      <w:pPr>
        <w:pStyle w:val="ListParagraph"/>
        <w:widowControl/>
        <w:numPr>
          <w:ilvl w:val="2"/>
          <w:numId w:val="6"/>
        </w:numPr>
        <w:contextualSpacing/>
        <w:rPr>
          <w:rFonts w:ascii="Arial" w:hAnsi="Arial" w:cs="Arial"/>
          <w:sz w:val="24"/>
          <w:szCs w:val="24"/>
        </w:rPr>
      </w:pPr>
      <w:r w:rsidRPr="00716CF1">
        <w:rPr>
          <w:rFonts w:ascii="Arial" w:hAnsi="Arial" w:cs="Arial"/>
          <w:sz w:val="24"/>
          <w:szCs w:val="24"/>
        </w:rPr>
        <w:t>Full Committee Review: The SCRO Administrat</w:t>
      </w:r>
      <w:r w:rsidRPr="00716CF1">
        <w:rPr>
          <w:rFonts w:ascii="Arial" w:hAnsi="Arial" w:cs="Arial"/>
          <w:sz w:val="24"/>
          <w:szCs w:val="24"/>
        </w:rPr>
        <w:t>or designates two Committee members as lead reviewers to review the protocols that require full review: one with scientific expertise pertinent to the protocol and one with ethics expertise or a non-affiliated SCRO Committee member.  The applications are m</w:t>
      </w:r>
      <w:r w:rsidRPr="00716CF1">
        <w:rPr>
          <w:rFonts w:ascii="Arial" w:hAnsi="Arial" w:cs="Arial"/>
          <w:sz w:val="24"/>
          <w:szCs w:val="24"/>
        </w:rPr>
        <w:t>ade available to all SCRO Committee members. At a Committee meeting, the two lead reviewers present the protocol and their analysis to the Committee. After deliberation, a quorum of Committee members votes on the outcome of the application. All Full Commit</w:t>
      </w:r>
      <w:r w:rsidRPr="00716CF1">
        <w:rPr>
          <w:rFonts w:ascii="Arial" w:hAnsi="Arial" w:cs="Arial"/>
          <w:sz w:val="24"/>
          <w:szCs w:val="24"/>
        </w:rPr>
        <w:t xml:space="preserve">tee review approvals and disapprovals are formally reported monthly in writing to the Director of the Office of Research Integrity and the Vice President for Research.  </w:t>
      </w:r>
    </w:p>
    <w:p w:rsidR="00716CF1" w:rsidP="00716CF1" w14:paraId="3DD1A913" w14:textId="77777777">
      <w:pPr>
        <w:pStyle w:val="MediumGrid1-Accent21"/>
      </w:pPr>
    </w:p>
    <w:p w:rsidR="00716CF1" w:rsidP="00716CF1" w14:paraId="3DD1A914" w14:textId="77777777">
      <w:pPr>
        <w:pStyle w:val="MediumGrid1-Accent21"/>
        <w:numPr>
          <w:ilvl w:val="2"/>
          <w:numId w:val="6"/>
        </w:numPr>
        <w:spacing w:before="240" w:after="240"/>
        <w:jc w:val="both"/>
      </w:pPr>
      <w:r w:rsidRPr="001F7E2E">
        <w:t>Additional Information: At any stage in the review process, the Chair or lead</w:t>
      </w:r>
      <w:r>
        <w:t xml:space="preserve"> </w:t>
      </w:r>
      <w:r w:rsidRPr="001F7E2E">
        <w:t>reviewe</w:t>
      </w:r>
      <w:r w:rsidRPr="001F7E2E">
        <w:t>r may require the applicant to submit additional information or</w:t>
      </w:r>
      <w:r>
        <w:t xml:space="preserve"> </w:t>
      </w:r>
      <w:r w:rsidRPr="001F7E2E">
        <w:t xml:space="preserve">documentation to the </w:t>
      </w:r>
      <w:r>
        <w:t xml:space="preserve">SCRO </w:t>
      </w:r>
      <w:r w:rsidRPr="001F7E2E">
        <w:t>Committee in support of the Application.</w:t>
      </w:r>
      <w:r>
        <w:t xml:space="preserve"> Requests will be facilitated through the SCRO Administrator.</w:t>
      </w:r>
    </w:p>
    <w:p w:rsidR="00716CF1" w:rsidP="00716CF1" w14:paraId="3DD1A915" w14:textId="77777777">
      <w:pPr>
        <w:pStyle w:val="MediumGrid1-Accent21"/>
      </w:pPr>
    </w:p>
    <w:p w:rsidR="00716CF1" w:rsidP="00716CF1" w14:paraId="3DD1A916" w14:textId="77777777">
      <w:pPr>
        <w:pStyle w:val="MediumGrid1-Accent21"/>
        <w:numPr>
          <w:ilvl w:val="2"/>
          <w:numId w:val="6"/>
        </w:numPr>
        <w:spacing w:before="240" w:after="240"/>
        <w:jc w:val="both"/>
      </w:pPr>
      <w:r w:rsidRPr="001F7E2E">
        <w:t>Additional R</w:t>
      </w:r>
      <w:r>
        <w:t xml:space="preserve">eview: If the Chair or the </w:t>
      </w:r>
      <w:r w:rsidRPr="004760CD">
        <w:t>Vice President for Research</w:t>
      </w:r>
      <w:r>
        <w:t xml:space="preserve"> determines </w:t>
      </w:r>
      <w:r w:rsidRPr="001F7E2E">
        <w:t>that a</w:t>
      </w:r>
      <w:r>
        <w:t xml:space="preserve"> </w:t>
      </w:r>
      <w:r w:rsidRPr="001F7E2E">
        <w:t>protocol requires an additional review, he or she may forward the</w:t>
      </w:r>
      <w:r>
        <w:t xml:space="preserve"> a</w:t>
      </w:r>
      <w:r w:rsidRPr="001F7E2E">
        <w:t xml:space="preserve">pplication to an </w:t>
      </w:r>
      <w:r w:rsidRPr="00D92E14">
        <w:rPr>
          <w:i/>
        </w:rPr>
        <w:t>ad hoc</w:t>
      </w:r>
      <w:r w:rsidRPr="001F7E2E">
        <w:t xml:space="preserve"> reviewer or to one or more </w:t>
      </w:r>
      <w:r>
        <w:t xml:space="preserve">additional </w:t>
      </w:r>
      <w:r w:rsidRPr="001F7E2E">
        <w:t>Committee</w:t>
      </w:r>
      <w:r>
        <w:t xml:space="preserve"> </w:t>
      </w:r>
      <w:r w:rsidRPr="001F7E2E">
        <w:t>members.</w:t>
      </w:r>
      <w:r>
        <w:t xml:space="preserve"> </w:t>
      </w:r>
      <w:r w:rsidRPr="001F7E2E">
        <w:t xml:space="preserve">If </w:t>
      </w:r>
      <w:r>
        <w:t xml:space="preserve">either </w:t>
      </w:r>
      <w:r w:rsidRPr="001F7E2E">
        <w:t xml:space="preserve">the Chair or designated reviewer </w:t>
      </w:r>
      <w:r>
        <w:t>has concerns about</w:t>
      </w:r>
      <w:r w:rsidRPr="001F7E2E">
        <w:t xml:space="preserve"> a</w:t>
      </w:r>
      <w:r>
        <w:t>n</w:t>
      </w:r>
      <w:r w:rsidRPr="001F7E2E">
        <w:t xml:space="preserve"> </w:t>
      </w:r>
      <w:r>
        <w:t>expedited Application</w:t>
      </w:r>
      <w:r w:rsidRPr="001F7E2E">
        <w:t>, he or she must forward the Application to the Committee for</w:t>
      </w:r>
      <w:r>
        <w:t xml:space="preserve"> </w:t>
      </w:r>
      <w:r w:rsidRPr="001F7E2E">
        <w:t>full review.</w:t>
      </w:r>
    </w:p>
    <w:p w:rsidR="00716CF1" w:rsidP="00716CF1" w14:paraId="3DD1A917" w14:textId="77777777">
      <w:pPr>
        <w:pStyle w:val="MediumGrid1-Accent21"/>
      </w:pPr>
    </w:p>
    <w:p w:rsidR="00716CF1" w:rsidRPr="00AF4FE4" w:rsidP="00716CF1" w14:paraId="3DD1A918" w14:textId="77777777">
      <w:pPr>
        <w:pStyle w:val="MediumGrid1-Accent21"/>
        <w:numPr>
          <w:ilvl w:val="1"/>
          <w:numId w:val="6"/>
        </w:numPr>
        <w:spacing w:before="240" w:after="240"/>
        <w:ind w:left="907"/>
        <w:contextualSpacing w:val="0"/>
        <w:outlineLvl w:val="1"/>
        <w:rPr>
          <w:b/>
        </w:rPr>
      </w:pPr>
      <w:bookmarkStart w:id="7" w:name="_Toc476202283"/>
      <w:r w:rsidRPr="00AF4FE4">
        <w:rPr>
          <w:b/>
        </w:rPr>
        <w:t>Continuing Review (Renewal) of Protocol</w:t>
      </w:r>
      <w:bookmarkEnd w:id="7"/>
    </w:p>
    <w:p w:rsidR="00716CF1" w:rsidP="00716CF1" w14:paraId="3DD1A919" w14:textId="77777777">
      <w:pPr>
        <w:pStyle w:val="MediumGrid1-Accent21"/>
        <w:spacing w:before="240" w:after="240"/>
        <w:ind w:left="900"/>
        <w:jc w:val="both"/>
      </w:pPr>
      <w:r>
        <w:t>SCRO Committee approvals are issued for no more than one year. R</w:t>
      </w:r>
      <w:r>
        <w:t>esearchers may not conduct any research covered by that application either before activation or after the approval expiration date. The SCRO Committee must receive a renewal application at least 2 months prior to the expiration date in order to assure cont</w:t>
      </w:r>
      <w:r>
        <w:t xml:space="preserve">inuity of the research. Newly established or acquired hPSCs lines need to be registered as part of the Continuing Review, unless they were already registered prior. After three years, the PI must submit a new protocol for a </w:t>
      </w:r>
      <w:r w:rsidRPr="001712FF">
        <w:rPr>
          <w:i/>
        </w:rPr>
        <w:t>de novo</w:t>
      </w:r>
      <w:r>
        <w:t xml:space="preserve"> review by the SCRO commi</w:t>
      </w:r>
      <w:r>
        <w:t xml:space="preserve">ttee.  </w:t>
      </w:r>
    </w:p>
    <w:p w:rsidR="00716CF1" w:rsidP="00716CF1" w14:paraId="3DD1A91A" w14:textId="77777777">
      <w:pPr>
        <w:pStyle w:val="MediumGrid1-Accent21"/>
        <w:spacing w:before="240" w:after="240"/>
        <w:ind w:left="900"/>
        <w:jc w:val="both"/>
      </w:pPr>
    </w:p>
    <w:p w:rsidR="00716CF1" w:rsidRPr="00AF4FE4" w:rsidP="00716CF1" w14:paraId="3DD1A91B" w14:textId="77777777">
      <w:pPr>
        <w:pStyle w:val="MediumGrid1-Accent21"/>
        <w:numPr>
          <w:ilvl w:val="1"/>
          <w:numId w:val="6"/>
        </w:numPr>
        <w:spacing w:before="240" w:after="240"/>
        <w:ind w:left="907"/>
        <w:contextualSpacing w:val="0"/>
        <w:outlineLvl w:val="1"/>
        <w:rPr>
          <w:b/>
        </w:rPr>
      </w:pPr>
      <w:bookmarkStart w:id="8" w:name="_Toc476202284"/>
      <w:r w:rsidRPr="00AF4FE4">
        <w:rPr>
          <w:b/>
        </w:rPr>
        <w:t>Modifications or Amendments</w:t>
      </w:r>
      <w:bookmarkEnd w:id="8"/>
    </w:p>
    <w:p w:rsidR="00716CF1" w:rsidP="00716CF1" w14:paraId="3DD1A91C" w14:textId="77777777">
      <w:pPr>
        <w:pStyle w:val="MediumGrid1-Accent21"/>
        <w:spacing w:before="240" w:after="240"/>
        <w:ind w:left="900"/>
        <w:jc w:val="both"/>
      </w:pPr>
      <w:r>
        <w:t>Modifications approved to an active protocol do not change the expiration date, unless the modification is submitted as part of a complete application for Continuing Review (Renewal). Modifications may be submitted at t</w:t>
      </w:r>
      <w:r>
        <w:t xml:space="preserve">he same time as requests for regularly scheduled Continuing Review. </w:t>
      </w:r>
    </w:p>
    <w:p w:rsidR="00716CF1" w:rsidP="00716CF1" w14:paraId="3DD1A91D" w14:textId="77777777">
      <w:pPr>
        <w:pStyle w:val="MediumGrid1-Accent21"/>
        <w:spacing w:before="240" w:after="240"/>
        <w:ind w:left="900"/>
        <w:jc w:val="both"/>
      </w:pPr>
    </w:p>
    <w:p w:rsidR="00716CF1" w:rsidP="00716CF1" w14:paraId="3DD1A91E" w14:textId="77777777">
      <w:pPr>
        <w:pStyle w:val="MediumGrid1-Accent21"/>
        <w:numPr>
          <w:ilvl w:val="1"/>
          <w:numId w:val="6"/>
        </w:numPr>
        <w:spacing w:before="240" w:after="240"/>
        <w:ind w:left="907"/>
        <w:contextualSpacing w:val="0"/>
        <w:outlineLvl w:val="1"/>
        <w:rPr>
          <w:b/>
        </w:rPr>
      </w:pPr>
      <w:bookmarkStart w:id="9" w:name="_Toc476202285"/>
      <w:r w:rsidRPr="00AF4FE4">
        <w:rPr>
          <w:b/>
        </w:rPr>
        <w:t>Restrictions, Suspension, and Termination of Covered Activities</w:t>
      </w:r>
      <w:bookmarkEnd w:id="9"/>
    </w:p>
    <w:p w:rsidR="00716CF1" w:rsidP="00716CF1" w14:paraId="3DD1A91F" w14:textId="77777777">
      <w:pPr>
        <w:pStyle w:val="MediumGrid1-Accent21"/>
        <w:spacing w:before="240" w:after="240"/>
        <w:ind w:left="900"/>
        <w:jc w:val="both"/>
        <w:rPr>
          <w:b/>
        </w:rPr>
      </w:pPr>
    </w:p>
    <w:p w:rsidR="00716CF1" w:rsidP="00716CF1" w14:paraId="3DD1A920" w14:textId="77777777">
      <w:pPr>
        <w:pStyle w:val="MediumGrid1-Accent21"/>
        <w:numPr>
          <w:ilvl w:val="2"/>
          <w:numId w:val="6"/>
        </w:numPr>
        <w:spacing w:before="240" w:after="240"/>
        <w:ind w:left="900"/>
        <w:jc w:val="both"/>
        <w:rPr>
          <w:b/>
        </w:rPr>
      </w:pPr>
      <w:r w:rsidRPr="00AF4FE4">
        <w:t xml:space="preserve">The SCRO Committee may </w:t>
      </w:r>
      <w:r>
        <w:t xml:space="preserve">advise the </w:t>
      </w:r>
      <w:r w:rsidRPr="004760CD">
        <w:t>Vice President for Research</w:t>
      </w:r>
      <w:r>
        <w:t xml:space="preserve"> to </w:t>
      </w:r>
      <w:r w:rsidRPr="00AF4FE4">
        <w:t xml:space="preserve">place restrictions on </w:t>
      </w:r>
      <w:r>
        <w:t>any aspect of studies involving hP</w:t>
      </w:r>
      <w:r>
        <w:t xml:space="preserve">SCs at MUSC.  </w:t>
      </w:r>
    </w:p>
    <w:p w:rsidR="00716CF1" w:rsidP="00716CF1" w14:paraId="3DD1A921" w14:textId="77777777">
      <w:pPr>
        <w:pStyle w:val="MediumGrid1-Accent21"/>
        <w:numPr>
          <w:ilvl w:val="2"/>
          <w:numId w:val="6"/>
        </w:numPr>
        <w:spacing w:before="240" w:after="240"/>
        <w:ind w:left="900"/>
        <w:jc w:val="both"/>
        <w:rPr>
          <w:b/>
        </w:rPr>
      </w:pPr>
      <w:r>
        <w:t xml:space="preserve">The </w:t>
      </w:r>
      <w:r w:rsidRPr="00AF4FE4">
        <w:t>SCRO Committee may recommend suspension or termination of</w:t>
      </w:r>
      <w:r>
        <w:rPr>
          <w:b/>
        </w:rPr>
        <w:t xml:space="preserve"> </w:t>
      </w:r>
      <w:r w:rsidRPr="00AF4FE4">
        <w:t xml:space="preserve">activities </w:t>
      </w:r>
      <w:r>
        <w:t xml:space="preserve">involving hPS cells </w:t>
      </w:r>
      <w:r w:rsidRPr="00AF4FE4">
        <w:t>that are not being performed in</w:t>
      </w:r>
      <w:r>
        <w:rPr>
          <w:b/>
        </w:rPr>
        <w:t xml:space="preserve"> </w:t>
      </w:r>
      <w:r w:rsidRPr="00AF4FE4">
        <w:t xml:space="preserve">compliance with the terms of </w:t>
      </w:r>
      <w:r>
        <w:t>the approved protocol</w:t>
      </w:r>
      <w:r w:rsidRPr="00AF4FE4">
        <w:t>, its policies, or applicable law</w:t>
      </w:r>
      <w:r>
        <w:t>s</w:t>
      </w:r>
      <w:r w:rsidRPr="00AF4FE4">
        <w:t xml:space="preserve"> or</w:t>
      </w:r>
      <w:r>
        <w:rPr>
          <w:b/>
        </w:rPr>
        <w:t xml:space="preserve"> </w:t>
      </w:r>
      <w:r w:rsidRPr="00AF4FE4">
        <w:t>regulation</w:t>
      </w:r>
      <w:r>
        <w:t>s</w:t>
      </w:r>
      <w:r w:rsidRPr="00AF4FE4">
        <w:t>. Such recommenda</w:t>
      </w:r>
      <w:r w:rsidRPr="00AF4FE4">
        <w:t>tion</w:t>
      </w:r>
      <w:r>
        <w:t>s</w:t>
      </w:r>
      <w:r w:rsidRPr="00AF4FE4">
        <w:t xml:space="preserve"> shall be made in writing </w:t>
      </w:r>
      <w:r>
        <w:t xml:space="preserve">by the SCRO Chair </w:t>
      </w:r>
      <w:r w:rsidRPr="00AF4FE4">
        <w:t>to the</w:t>
      </w:r>
      <w:r>
        <w:rPr>
          <w:b/>
        </w:rPr>
        <w:t xml:space="preserve"> </w:t>
      </w:r>
      <w:r w:rsidRPr="004760CD">
        <w:t>Vice President for Research</w:t>
      </w:r>
      <w:r w:rsidRPr="00AF4FE4">
        <w:t xml:space="preserve">, who will take </w:t>
      </w:r>
      <w:r>
        <w:t xml:space="preserve">any </w:t>
      </w:r>
      <w:r w:rsidRPr="00AF4FE4">
        <w:t>appropriate action</w:t>
      </w:r>
      <w:r>
        <w:t xml:space="preserve"> as he/she deems necessary</w:t>
      </w:r>
      <w:r w:rsidRPr="00AF4FE4">
        <w:t>.</w:t>
      </w:r>
    </w:p>
    <w:p w:rsidR="00716CF1" w:rsidRPr="00175104" w:rsidP="00716CF1" w14:paraId="3DD1A922" w14:textId="77777777">
      <w:pPr>
        <w:pStyle w:val="MediumGrid1-Accent21"/>
        <w:numPr>
          <w:ilvl w:val="2"/>
          <w:numId w:val="6"/>
        </w:numPr>
        <w:spacing w:before="240" w:after="240"/>
        <w:ind w:left="900"/>
        <w:jc w:val="both"/>
        <w:rPr>
          <w:b/>
        </w:rPr>
      </w:pPr>
      <w:r>
        <w:t xml:space="preserve">The </w:t>
      </w:r>
      <w:r w:rsidRPr="00AF4FE4">
        <w:t>Principal Investigator m</w:t>
      </w:r>
      <w:r>
        <w:t xml:space="preserve">ust immediately notify the SCRO </w:t>
      </w:r>
      <w:r w:rsidRPr="00AF4FE4">
        <w:t>Committee in writing</w:t>
      </w:r>
      <w:r>
        <w:t xml:space="preserve"> if a sponsor or any MUSC c</w:t>
      </w:r>
      <w:r>
        <w:t xml:space="preserve">ommittee or non-MUSC </w:t>
      </w:r>
      <w:r w:rsidRPr="00AF4FE4">
        <w:t>institution</w:t>
      </w:r>
      <w:r>
        <w:t xml:space="preserve"> or agency </w:t>
      </w:r>
      <w:r w:rsidRPr="00AF4FE4">
        <w:t>initiates an inquiry into</w:t>
      </w:r>
      <w:r>
        <w:t xml:space="preserve"> research involving human stem cells</w:t>
      </w:r>
      <w:r w:rsidRPr="00AF4FE4">
        <w:t xml:space="preserve">, or </w:t>
      </w:r>
      <w:r>
        <w:t xml:space="preserve">into </w:t>
      </w:r>
      <w:r w:rsidRPr="00AF4FE4">
        <w:t>ethical concerns</w:t>
      </w:r>
      <w:r>
        <w:t xml:space="preserve"> involving human stem cells</w:t>
      </w:r>
      <w:r w:rsidRPr="00AF4FE4">
        <w:t>, or suspends or terminates a</w:t>
      </w:r>
      <w:r>
        <w:rPr>
          <w:b/>
        </w:rPr>
        <w:t xml:space="preserve"> </w:t>
      </w:r>
      <w:r w:rsidRPr="00AF4FE4">
        <w:t>study</w:t>
      </w:r>
      <w:r>
        <w:t xml:space="preserve"> involving human stem cells</w:t>
      </w:r>
      <w:r w:rsidRPr="00AF4FE4">
        <w:t>.</w:t>
      </w:r>
    </w:p>
    <w:p w:rsidR="00716CF1" w:rsidRPr="00175104" w:rsidP="00716CF1" w14:paraId="3DD1A923" w14:textId="77777777">
      <w:pPr>
        <w:pStyle w:val="MediumGrid1-Accent21"/>
        <w:spacing w:before="240" w:after="240"/>
        <w:ind w:left="900"/>
        <w:jc w:val="both"/>
        <w:rPr>
          <w:b/>
        </w:rPr>
      </w:pPr>
    </w:p>
    <w:p w:rsidR="00716CF1" w:rsidRPr="00175104" w:rsidP="00716CF1" w14:paraId="3DD1A924" w14:textId="77777777">
      <w:pPr>
        <w:pStyle w:val="MediumGrid1-Accent21"/>
        <w:numPr>
          <w:ilvl w:val="1"/>
          <w:numId w:val="6"/>
        </w:numPr>
        <w:spacing w:before="240" w:after="240"/>
        <w:ind w:left="907"/>
        <w:contextualSpacing w:val="0"/>
        <w:outlineLvl w:val="1"/>
        <w:rPr>
          <w:b/>
        </w:rPr>
      </w:pPr>
      <w:bookmarkStart w:id="10" w:name="_Toc476202286"/>
      <w:r w:rsidRPr="00175104">
        <w:rPr>
          <w:b/>
        </w:rPr>
        <w:t xml:space="preserve">Post-Approval Monitoring of </w:t>
      </w:r>
      <w:r w:rsidRPr="00175104">
        <w:rPr>
          <w:b/>
        </w:rPr>
        <w:t>Covered Activities</w:t>
      </w:r>
      <w:bookmarkEnd w:id="10"/>
    </w:p>
    <w:p w:rsidR="00716CF1" w:rsidRPr="00175104" w:rsidP="00716CF1" w14:paraId="3DD1A925" w14:textId="77777777">
      <w:pPr>
        <w:pStyle w:val="MediumGrid1-Accent21"/>
        <w:spacing w:before="240" w:after="240"/>
        <w:ind w:left="900"/>
        <w:jc w:val="both"/>
      </w:pPr>
      <w:r>
        <w:t xml:space="preserve">The </w:t>
      </w:r>
      <w:r w:rsidRPr="00175104">
        <w:t>SCRO Committee may observe or have a third party observe the conduct of any</w:t>
      </w:r>
      <w:r>
        <w:t xml:space="preserve"> </w:t>
      </w:r>
      <w:r w:rsidRPr="00175104">
        <w:t>activiti</w:t>
      </w:r>
      <w:r>
        <w:t xml:space="preserve">es under its jurisdiction, including a </w:t>
      </w:r>
      <w:r w:rsidRPr="00175104">
        <w:t>review</w:t>
      </w:r>
      <w:r>
        <w:t xml:space="preserve"> of</w:t>
      </w:r>
      <w:r w:rsidRPr="00175104">
        <w:t xml:space="preserve"> all records</w:t>
      </w:r>
      <w:r>
        <w:t xml:space="preserve"> </w:t>
      </w:r>
      <w:r w:rsidRPr="00175104">
        <w:t>associated wi</w:t>
      </w:r>
      <w:r>
        <w:t>th the activities.</w:t>
      </w:r>
    </w:p>
    <w:p w:rsidR="00716CF1" w:rsidRPr="00175104" w:rsidP="00716CF1" w14:paraId="3DD1A926" w14:textId="77777777">
      <w:pPr>
        <w:pStyle w:val="MediumGrid1-Accent21"/>
        <w:spacing w:before="240" w:after="240"/>
        <w:ind w:left="1440"/>
        <w:jc w:val="both"/>
        <w:rPr>
          <w:b/>
        </w:rPr>
      </w:pPr>
    </w:p>
    <w:p w:rsidR="00716CF1" w:rsidP="00716CF1" w14:paraId="3DD1A927" w14:textId="77777777">
      <w:pPr>
        <w:pStyle w:val="MediumGrid1-Accent21"/>
        <w:numPr>
          <w:ilvl w:val="0"/>
          <w:numId w:val="6"/>
        </w:numPr>
        <w:outlineLvl w:val="0"/>
        <w:rPr>
          <w:b/>
          <w:caps/>
        </w:rPr>
      </w:pPr>
      <w:bookmarkStart w:id="11" w:name="_Toc476202287"/>
      <w:r w:rsidRPr="00C24CDB">
        <w:rPr>
          <w:b/>
          <w:caps/>
        </w:rPr>
        <w:t>Obligations of Investigators</w:t>
      </w:r>
      <w:bookmarkEnd w:id="11"/>
      <w:r w:rsidRPr="00C24CDB">
        <w:rPr>
          <w:b/>
          <w:caps/>
        </w:rPr>
        <w:t xml:space="preserve"> </w:t>
      </w:r>
    </w:p>
    <w:p w:rsidR="00716CF1" w:rsidP="00716CF1" w14:paraId="3DD1A928" w14:textId="77777777">
      <w:pPr>
        <w:pStyle w:val="MediumGrid1-Accent21"/>
        <w:spacing w:before="240" w:after="240"/>
        <w:jc w:val="both"/>
      </w:pPr>
    </w:p>
    <w:p w:rsidR="00716CF1" w:rsidP="00716CF1" w14:paraId="3DD1A929" w14:textId="77777777">
      <w:pPr>
        <w:pStyle w:val="MediumGrid1-Accent21"/>
        <w:spacing w:before="240" w:after="240"/>
        <w:jc w:val="both"/>
      </w:pPr>
      <w:r w:rsidRPr="00C24CDB">
        <w:t xml:space="preserve">All scientific </w:t>
      </w:r>
      <w:r>
        <w:t>investigators</w:t>
      </w:r>
      <w:r w:rsidRPr="00C24CDB">
        <w:t>, regardless of their field,</w:t>
      </w:r>
      <w:r>
        <w:t xml:space="preserve"> </w:t>
      </w:r>
      <w:r w:rsidRPr="00C24CDB">
        <w:t>bear the ultimate responsibility for ensuring that they conduct themselves</w:t>
      </w:r>
      <w:r>
        <w:t xml:space="preserve"> </w:t>
      </w:r>
      <w:r w:rsidRPr="00C24CDB">
        <w:t>in accordance with professional standards and with integrity. In particular,</w:t>
      </w:r>
      <w:r>
        <w:t xml:space="preserve"> </w:t>
      </w:r>
      <w:r w:rsidRPr="00C24CDB">
        <w:t>people whose research involves hES</w:t>
      </w:r>
      <w:r>
        <w:t>Cs</w:t>
      </w:r>
      <w:r w:rsidRPr="00C24CDB">
        <w:t xml:space="preserve"> should wor</w:t>
      </w:r>
      <w:r w:rsidRPr="00C24CDB">
        <w:t>k closely with oversight</w:t>
      </w:r>
      <w:r>
        <w:t xml:space="preserve"> </w:t>
      </w:r>
      <w:r w:rsidRPr="00C24CDB">
        <w:t>bodies, demonstrate respect for the autonomy and privacy of those who</w:t>
      </w:r>
      <w:r>
        <w:t xml:space="preserve"> </w:t>
      </w:r>
      <w:r w:rsidRPr="00C24CDB">
        <w:t>donate gametes, morulae, blastocysts, or somatic cells and be sensitive to</w:t>
      </w:r>
      <w:r>
        <w:t xml:space="preserve"> </w:t>
      </w:r>
      <w:r w:rsidRPr="00C24CDB">
        <w:t>public concerns about research that involves human embryos.</w:t>
      </w:r>
      <w:r>
        <w:t xml:space="preserve"> </w:t>
      </w:r>
    </w:p>
    <w:p w:rsidR="00716CF1" w:rsidP="00716CF1" w14:paraId="3DD1A92A" w14:textId="77777777">
      <w:pPr>
        <w:pStyle w:val="MediumGrid1-Accent21"/>
        <w:spacing w:before="240" w:after="240"/>
        <w:jc w:val="both"/>
      </w:pPr>
    </w:p>
    <w:p w:rsidR="00716CF1" w:rsidP="00716CF1" w14:paraId="3DD1A92B" w14:textId="77777777">
      <w:pPr>
        <w:pStyle w:val="MediumGrid1-Accent21"/>
        <w:spacing w:before="240" w:after="240"/>
        <w:jc w:val="both"/>
      </w:pPr>
      <w:r>
        <w:t>All MUSC</w:t>
      </w:r>
      <w:r w:rsidRPr="004927F8">
        <w:t xml:space="preserve"> activities invo</w:t>
      </w:r>
      <w:r w:rsidRPr="004927F8">
        <w:t>lving human stem cell research shall be in accordance with the applicable federal, state and funding agency regulations governing such research, including any restrictions on the use of federal funds for such research as issued und</w:t>
      </w:r>
      <w:r>
        <w:t>er the NIH Stem Cell Guid</w:t>
      </w:r>
      <w:r>
        <w:t xml:space="preserve">elines. It is the responsibility of the PI and all research personnel involved in human stem cell research to understand and adhere to these Federal restrictions. </w:t>
      </w:r>
    </w:p>
    <w:p w:rsidR="00716CF1" w:rsidP="00716CF1" w14:paraId="3DD1A92C" w14:textId="77777777">
      <w:pPr>
        <w:pStyle w:val="MediumGrid1-Accent21"/>
        <w:spacing w:before="240" w:after="240"/>
        <w:jc w:val="both"/>
      </w:pPr>
    </w:p>
    <w:p w:rsidR="00716CF1" w:rsidP="00716CF1" w14:paraId="3DD1A92D" w14:textId="77777777">
      <w:pPr>
        <w:pStyle w:val="MediumGrid1-Accent21"/>
        <w:spacing w:before="240" w:after="240"/>
        <w:jc w:val="both"/>
      </w:pPr>
      <w:r w:rsidRPr="007A1079">
        <w:rPr>
          <w:b/>
        </w:rPr>
        <w:t>With respect to research using human stem cell lines not approved by the NIH,</w:t>
      </w:r>
      <w:r>
        <w:t xml:space="preserve"> </w:t>
      </w:r>
      <w:r w:rsidRPr="00D92E14">
        <w:rPr>
          <w:b/>
        </w:rPr>
        <w:t xml:space="preserve">it is </w:t>
      </w:r>
      <w:r w:rsidRPr="00DA153C">
        <w:rPr>
          <w:b/>
        </w:rPr>
        <w:t>essenti</w:t>
      </w:r>
      <w:r w:rsidRPr="00DA153C">
        <w:rPr>
          <w:b/>
        </w:rPr>
        <w:t>al</w:t>
      </w:r>
      <w:r w:rsidRPr="007A1079">
        <w:rPr>
          <w:b/>
        </w:rPr>
        <w:t xml:space="preserve"> that all supplies and personnel supporting these projects are segregated from other research activities, supplies and equipment.</w:t>
      </w:r>
      <w:r>
        <w:t xml:space="preserve"> </w:t>
      </w:r>
    </w:p>
    <w:p w:rsidR="00716CF1" w:rsidP="00716CF1" w14:paraId="3DD1A92E" w14:textId="77777777">
      <w:pPr>
        <w:pStyle w:val="MediumGrid1-Accent21"/>
        <w:spacing w:before="240" w:after="240"/>
        <w:jc w:val="both"/>
      </w:pPr>
    </w:p>
    <w:p w:rsidR="00716CF1" w:rsidP="00716CF1" w14:paraId="3DD1A92F" w14:textId="77777777">
      <w:pPr>
        <w:pStyle w:val="MediumGrid1-Accent21"/>
        <w:spacing w:before="240" w:after="240"/>
        <w:contextualSpacing w:val="0"/>
        <w:jc w:val="both"/>
      </w:pPr>
      <w:r>
        <w:t>I</w:t>
      </w:r>
      <w:r w:rsidRPr="00657E23">
        <w:t xml:space="preserve">nvestigators are required to be familiar with applicable </w:t>
      </w:r>
      <w:r>
        <w:t xml:space="preserve">MUSC </w:t>
      </w:r>
      <w:r w:rsidRPr="00657E23">
        <w:t>and other compliance policies, rules</w:t>
      </w:r>
      <w:r>
        <w:t>,</w:t>
      </w:r>
      <w:r w:rsidRPr="00657E23">
        <w:t xml:space="preserve"> and regulations gover</w:t>
      </w:r>
      <w:r w:rsidRPr="00657E23">
        <w:t xml:space="preserve">ning such activity. </w:t>
      </w:r>
      <w:r>
        <w:t xml:space="preserve"> See Section VII. Training. </w:t>
      </w:r>
    </w:p>
    <w:p w:rsidR="00716CF1" w:rsidP="00716CF1" w14:paraId="3DD1A930" w14:textId="77777777">
      <w:pPr>
        <w:pStyle w:val="MediumGrid1-Accent21"/>
        <w:spacing w:before="240" w:after="240"/>
        <w:jc w:val="both"/>
      </w:pPr>
      <w:r>
        <w:t xml:space="preserve">It is the responsibility of the PI to register all human pluripotent stem cell lines, derived or imported, with the MUSC Human Stem Cell Registry. See Section VI MUSC Human Stem Cell Registry. </w:t>
      </w:r>
    </w:p>
    <w:p w:rsidR="00716CF1" w:rsidP="00716CF1" w14:paraId="3DD1A931" w14:textId="77777777">
      <w:pPr>
        <w:pStyle w:val="MediumGrid1-Accent21"/>
        <w:spacing w:before="240" w:after="240"/>
        <w:jc w:val="both"/>
      </w:pPr>
    </w:p>
    <w:p w:rsidR="00716CF1" w:rsidP="00716CF1" w14:paraId="3DD1A932" w14:textId="77777777">
      <w:pPr>
        <w:pStyle w:val="MediumGrid1-Accent21"/>
        <w:spacing w:before="240" w:after="240"/>
        <w:jc w:val="both"/>
      </w:pPr>
      <w:r>
        <w:t>It is the re</w:t>
      </w:r>
      <w:r>
        <w:t xml:space="preserve">sponsibility of the PI to make sure an MTA is in place prior to transferring human stem cell materials to other individuals or corporate entities, both on and off MUSC campus. See Section VIII Transfer of Materials. </w:t>
      </w:r>
    </w:p>
    <w:p w:rsidR="00716CF1" w:rsidP="00716CF1" w14:paraId="3DD1A933" w14:textId="77777777">
      <w:pPr>
        <w:pStyle w:val="MediumGrid1-Accent21"/>
        <w:spacing w:before="240" w:after="240"/>
        <w:jc w:val="both"/>
      </w:pPr>
    </w:p>
    <w:p w:rsidR="00716CF1" w:rsidRPr="00175104" w:rsidP="00716CF1" w14:paraId="3DD1A934" w14:textId="77777777">
      <w:pPr>
        <w:pStyle w:val="MediumGrid1-Accent21"/>
        <w:numPr>
          <w:ilvl w:val="0"/>
          <w:numId w:val="6"/>
        </w:numPr>
        <w:outlineLvl w:val="0"/>
        <w:rPr>
          <w:b/>
          <w:caps/>
        </w:rPr>
      </w:pPr>
      <w:bookmarkStart w:id="12" w:name="_Toc476202288"/>
      <w:r w:rsidRPr="00175104">
        <w:rPr>
          <w:b/>
          <w:caps/>
        </w:rPr>
        <w:t>Training</w:t>
      </w:r>
      <w:r>
        <w:rPr>
          <w:b/>
          <w:caps/>
        </w:rPr>
        <w:t xml:space="preserve"> of PI, co-investigators and support staff</w:t>
      </w:r>
      <w:bookmarkEnd w:id="12"/>
    </w:p>
    <w:p w:rsidR="00716CF1" w:rsidP="00716CF1" w14:paraId="3DD1A935" w14:textId="77777777">
      <w:pPr>
        <w:pStyle w:val="MediumGrid1-Accent21"/>
        <w:spacing w:before="240" w:after="240"/>
        <w:contextualSpacing w:val="0"/>
        <w:jc w:val="both"/>
      </w:pPr>
      <w:r>
        <w:t>All individuals involved in hPSCs studies</w:t>
      </w:r>
      <w:r w:rsidRPr="00657E23">
        <w:t xml:space="preserve"> are required to be familiar with applicable </w:t>
      </w:r>
      <w:r>
        <w:t xml:space="preserve">MUSC </w:t>
      </w:r>
      <w:r w:rsidRPr="00657E23">
        <w:t>and other compliance policies, rules</w:t>
      </w:r>
      <w:r>
        <w:t>,</w:t>
      </w:r>
      <w:r w:rsidRPr="00657E23">
        <w:t xml:space="preserve"> and regulations governing such activity. </w:t>
      </w:r>
      <w:r>
        <w:t>All individuals involved in hPSCs studies</w:t>
      </w:r>
      <w:r w:rsidRPr="00657E23">
        <w:t xml:space="preserve"> </w:t>
      </w:r>
      <w:r>
        <w:t>m</w:t>
      </w:r>
      <w:r>
        <w:t xml:space="preserve">ust complete the </w:t>
      </w:r>
      <w:r w:rsidRPr="00DA47E6">
        <w:t xml:space="preserve">Stem Cell Research Oversight </w:t>
      </w:r>
      <w:r>
        <w:t xml:space="preserve">training program from the </w:t>
      </w:r>
      <w:r w:rsidRPr="00DA47E6">
        <w:t>Collaborative Institutional Training Initiative (CITI Program) at the University of Miami</w:t>
      </w:r>
      <w:r>
        <w:t>,</w:t>
      </w:r>
      <w:r w:rsidRPr="00DA47E6">
        <w:t xml:space="preserve"> </w:t>
      </w:r>
      <w:r>
        <w:t xml:space="preserve">prior to conducting hPSCs studies. </w:t>
      </w:r>
    </w:p>
    <w:p w:rsidR="00716CF1" w:rsidRPr="00175104" w:rsidP="00716CF1" w14:paraId="3DD1A936" w14:textId="77777777">
      <w:pPr>
        <w:pStyle w:val="MediumGrid1-Accent21"/>
        <w:numPr>
          <w:ilvl w:val="0"/>
          <w:numId w:val="6"/>
        </w:numPr>
        <w:spacing w:before="240" w:after="240"/>
        <w:contextualSpacing w:val="0"/>
        <w:jc w:val="both"/>
        <w:outlineLvl w:val="0"/>
        <w:rPr>
          <w:b/>
          <w:caps/>
        </w:rPr>
      </w:pPr>
      <w:bookmarkStart w:id="13" w:name="_Toc476202289"/>
      <w:r w:rsidRPr="00175104">
        <w:rPr>
          <w:b/>
          <w:caps/>
        </w:rPr>
        <w:t>Transfer of materials</w:t>
      </w:r>
      <w:bookmarkEnd w:id="13"/>
    </w:p>
    <w:p w:rsidR="00716CF1" w:rsidP="00716CF1" w14:paraId="3DD1A937" w14:textId="77777777">
      <w:pPr>
        <w:pStyle w:val="MediumGrid1-Accent21"/>
        <w:spacing w:before="240" w:after="240"/>
        <w:contextualSpacing w:val="0"/>
        <w:jc w:val="both"/>
      </w:pPr>
      <w:r>
        <w:t xml:space="preserve">A fully executed Material Transfer </w:t>
      </w:r>
      <w:r>
        <w:t>Agreement</w:t>
      </w:r>
      <w:r w:rsidRPr="005F432D">
        <w:t xml:space="preserve"> is required for all exchanges of </w:t>
      </w:r>
      <w:r>
        <w:t xml:space="preserve">human stem cell </w:t>
      </w:r>
      <w:r w:rsidRPr="005F432D">
        <w:t>materials, incoming and outgoing</w:t>
      </w:r>
      <w:r>
        <w:t>. The Office of Sponsored Research Projects handles negotiation of such agreements. It is the PI</w:t>
      </w:r>
      <w:r w:rsidRPr="00F4269B">
        <w:t xml:space="preserve"> r</w:t>
      </w:r>
      <w:r>
        <w:t xml:space="preserve">esponsibility to comply with </w:t>
      </w:r>
      <w:r w:rsidRPr="00F4269B">
        <w:t>SCRO requirements for assuring prior a</w:t>
      </w:r>
      <w:r w:rsidRPr="00F4269B">
        <w:t>pproval and providing information for campus tracking of such transactions, as appropriate.</w:t>
      </w:r>
      <w:r>
        <w:t xml:space="preserve"> </w:t>
      </w:r>
    </w:p>
    <w:p w:rsidR="00716CF1" w:rsidRPr="00D92E14" w:rsidP="00716CF1" w14:paraId="3DD1A938" w14:textId="77777777">
      <w:pPr>
        <w:pStyle w:val="MediumGrid1-Accent21"/>
        <w:spacing w:before="240" w:after="240"/>
        <w:contextualSpacing w:val="0"/>
        <w:jc w:val="both"/>
        <w:rPr>
          <w:b/>
        </w:rPr>
      </w:pPr>
      <w:r w:rsidRPr="00D92E14">
        <w:rPr>
          <w:b/>
        </w:rPr>
        <w:t xml:space="preserve">Principal Investigators intending to transfer any human stem cell materials to other researchers within MUSC must notify the SCRO Administrator </w:t>
      </w:r>
      <w:r>
        <w:rPr>
          <w:b/>
        </w:rPr>
        <w:t xml:space="preserve">at least one week </w:t>
      </w:r>
      <w:r w:rsidRPr="00D92E14">
        <w:rPr>
          <w:b/>
        </w:rPr>
        <w:t>p</w:t>
      </w:r>
      <w:r w:rsidRPr="00D92E14">
        <w:rPr>
          <w:b/>
        </w:rPr>
        <w:t xml:space="preserve">rior to transfer, to assure the recipient has appropriate prior approval and to provide information for campus tracking of such transactions.  </w:t>
      </w:r>
    </w:p>
    <w:p w:rsidR="00716CF1" w:rsidRPr="0054521F" w:rsidP="00716CF1" w14:paraId="3DD1A939" w14:textId="77777777">
      <w:pPr>
        <w:pStyle w:val="MediumGrid1-Accent21"/>
        <w:numPr>
          <w:ilvl w:val="0"/>
          <w:numId w:val="9"/>
        </w:numPr>
        <w:spacing w:before="240" w:after="240"/>
        <w:contextualSpacing w:val="0"/>
        <w:jc w:val="both"/>
        <w:outlineLvl w:val="0"/>
        <w:rPr>
          <w:b/>
        </w:rPr>
      </w:pPr>
      <w:bookmarkStart w:id="14" w:name="_Toc476202290"/>
      <w:r>
        <w:rPr>
          <w:b/>
        </w:rPr>
        <w:t>SCRO COMMITTEE</w:t>
      </w:r>
      <w:bookmarkEnd w:id="14"/>
      <w:r>
        <w:rPr>
          <w:b/>
        </w:rPr>
        <w:t xml:space="preserve"> </w:t>
      </w:r>
    </w:p>
    <w:p w:rsidR="00716CF1" w:rsidP="00716CF1" w14:paraId="3DD1A93A" w14:textId="77777777">
      <w:pPr>
        <w:pStyle w:val="MediumGrid1-Accent21"/>
        <w:numPr>
          <w:ilvl w:val="1"/>
          <w:numId w:val="6"/>
        </w:numPr>
        <w:spacing w:before="240" w:after="240"/>
        <w:ind w:left="907"/>
        <w:contextualSpacing w:val="0"/>
        <w:outlineLvl w:val="1"/>
        <w:rPr>
          <w:b/>
        </w:rPr>
      </w:pPr>
      <w:bookmarkStart w:id="15" w:name="_Toc476202291"/>
      <w:r>
        <w:rPr>
          <w:b/>
        </w:rPr>
        <w:t>Membership</w:t>
      </w:r>
      <w:bookmarkEnd w:id="15"/>
    </w:p>
    <w:p w:rsidR="00716CF1" w:rsidRPr="00175104" w:rsidP="00716CF1" w14:paraId="3DD1A93B" w14:textId="77777777">
      <w:pPr>
        <w:pStyle w:val="MediumGrid1-Accent21"/>
        <w:spacing w:before="240" w:after="240"/>
        <w:ind w:left="900"/>
        <w:contextualSpacing w:val="0"/>
        <w:jc w:val="both"/>
      </w:pPr>
      <w:r w:rsidRPr="00175104">
        <w:t>The</w:t>
      </w:r>
      <w:r>
        <w:t xml:space="preserve"> </w:t>
      </w:r>
      <w:r w:rsidRPr="00175104">
        <w:t xml:space="preserve">SCRO Committee shall consist of </w:t>
      </w:r>
      <w:r>
        <w:t xml:space="preserve">at least five </w:t>
      </w:r>
      <w:r w:rsidRPr="00175104">
        <w:t xml:space="preserve">members appointed by the </w:t>
      </w:r>
      <w:r>
        <w:t>Vice President for Research</w:t>
      </w:r>
      <w:r w:rsidRPr="00175104">
        <w:t xml:space="preserve">. Members shall serve for </w:t>
      </w:r>
      <w:r>
        <w:t xml:space="preserve">staggered, </w:t>
      </w:r>
      <w:r w:rsidRPr="00175104">
        <w:t>rene</w:t>
      </w:r>
      <w:r>
        <w:t xml:space="preserve">wable terms of three years each. Appointments to the </w:t>
      </w:r>
      <w:r w:rsidRPr="00175104">
        <w:t>SCRO Committee shall be made to persons from a variety of academic and professional fields in order to reflect</w:t>
      </w:r>
      <w:r w:rsidRPr="00175104">
        <w:t xml:space="preserve"> the scientific, medical and ethical expertise necessary to carry out the com</w:t>
      </w:r>
      <w:r>
        <w:t>mittee’s responsibilities. The SCRO Committee shall consist</w:t>
      </w:r>
      <w:r w:rsidRPr="00175104">
        <w:t xml:space="preserve"> of the following:</w:t>
      </w:r>
    </w:p>
    <w:p w:rsidR="00716CF1" w:rsidRPr="00175104" w:rsidP="00716CF1" w14:paraId="3DD1A93C" w14:textId="77777777">
      <w:pPr>
        <w:pStyle w:val="MediumGrid1-Accent21"/>
        <w:numPr>
          <w:ilvl w:val="3"/>
          <w:numId w:val="6"/>
        </w:numPr>
        <w:spacing w:before="240" w:after="240"/>
        <w:jc w:val="both"/>
      </w:pPr>
      <w:r w:rsidRPr="00175104">
        <w:t>Members with pertinent scientific and clinical expertise</w:t>
      </w:r>
    </w:p>
    <w:p w:rsidR="00716CF1" w:rsidRPr="00175104" w:rsidP="00716CF1" w14:paraId="3DD1A93D" w14:textId="77777777">
      <w:pPr>
        <w:pStyle w:val="MediumGrid1-Accent21"/>
        <w:numPr>
          <w:ilvl w:val="4"/>
          <w:numId w:val="6"/>
        </w:numPr>
        <w:spacing w:before="240" w:after="240"/>
        <w:jc w:val="both"/>
      </w:pPr>
      <w:r w:rsidRPr="00175104">
        <w:t>Principal Investigators</w:t>
      </w:r>
    </w:p>
    <w:p w:rsidR="00716CF1" w:rsidRPr="00175104" w:rsidP="00716CF1" w14:paraId="3DD1A93E" w14:textId="77777777">
      <w:pPr>
        <w:pStyle w:val="MediumGrid1-Accent21"/>
        <w:spacing w:before="240" w:after="240"/>
        <w:ind w:left="2880"/>
        <w:jc w:val="both"/>
      </w:pPr>
    </w:p>
    <w:p w:rsidR="00716CF1" w:rsidRPr="00175104" w:rsidP="00716CF1" w14:paraId="3DD1A93F" w14:textId="77777777">
      <w:pPr>
        <w:pStyle w:val="MediumGrid1-Accent21"/>
        <w:numPr>
          <w:ilvl w:val="3"/>
          <w:numId w:val="6"/>
        </w:numPr>
        <w:spacing w:before="240" w:after="240"/>
        <w:jc w:val="both"/>
      </w:pPr>
      <w:r w:rsidRPr="00175104">
        <w:t>Members with expert</w:t>
      </w:r>
      <w:r w:rsidRPr="00175104">
        <w:t>ise in research ethics, law and human subjects protection, e.g.</w:t>
      </w:r>
    </w:p>
    <w:p w:rsidR="00716CF1" w:rsidRPr="00175104" w:rsidP="00716CF1" w14:paraId="3DD1A940" w14:textId="77777777">
      <w:pPr>
        <w:pStyle w:val="MediumGrid1-Accent21"/>
        <w:numPr>
          <w:ilvl w:val="4"/>
          <w:numId w:val="6"/>
        </w:numPr>
        <w:spacing w:before="240" w:after="240"/>
        <w:jc w:val="both"/>
      </w:pPr>
      <w:r w:rsidRPr="00175104">
        <w:t>Ethicist</w:t>
      </w:r>
    </w:p>
    <w:p w:rsidR="00716CF1" w:rsidRPr="00175104" w:rsidP="00716CF1" w14:paraId="3DD1A941" w14:textId="77777777">
      <w:pPr>
        <w:pStyle w:val="MediumGrid1-Accent21"/>
        <w:numPr>
          <w:ilvl w:val="4"/>
          <w:numId w:val="6"/>
        </w:numPr>
        <w:spacing w:before="240" w:after="240"/>
        <w:jc w:val="both"/>
      </w:pPr>
      <w:r w:rsidRPr="00175104">
        <w:t>IRB Program Manager</w:t>
      </w:r>
    </w:p>
    <w:p w:rsidR="00716CF1" w:rsidRPr="00175104" w:rsidP="00716CF1" w14:paraId="3DD1A942" w14:textId="77777777">
      <w:pPr>
        <w:pStyle w:val="MediumGrid1-Accent21"/>
        <w:spacing w:before="240" w:after="240"/>
        <w:ind w:left="2880"/>
        <w:jc w:val="both"/>
      </w:pPr>
    </w:p>
    <w:p w:rsidR="00716CF1" w:rsidRPr="00175104" w:rsidP="00716CF1" w14:paraId="3DD1A943" w14:textId="77777777">
      <w:pPr>
        <w:pStyle w:val="MediumGrid1-Accent21"/>
        <w:numPr>
          <w:ilvl w:val="3"/>
          <w:numId w:val="6"/>
        </w:numPr>
        <w:spacing w:before="240" w:after="240"/>
        <w:jc w:val="both"/>
      </w:pPr>
      <w:r w:rsidRPr="00175104">
        <w:t>Non-scientist unaffiliated member, e.g.</w:t>
      </w:r>
    </w:p>
    <w:p w:rsidR="00716CF1" w:rsidRPr="00175104" w:rsidP="00716CF1" w14:paraId="3DD1A944" w14:textId="77777777">
      <w:pPr>
        <w:pStyle w:val="MediumGrid1-Accent21"/>
        <w:numPr>
          <w:ilvl w:val="4"/>
          <w:numId w:val="6"/>
        </w:numPr>
        <w:spacing w:before="240" w:after="240"/>
        <w:jc w:val="both"/>
      </w:pPr>
      <w:r w:rsidRPr="00175104">
        <w:t>Patient Advocate</w:t>
      </w:r>
    </w:p>
    <w:p w:rsidR="00716CF1" w:rsidRPr="00175104" w:rsidP="00716CF1" w14:paraId="3DD1A945" w14:textId="77777777">
      <w:pPr>
        <w:pStyle w:val="MediumGrid1-Accent21"/>
        <w:numPr>
          <w:ilvl w:val="4"/>
          <w:numId w:val="6"/>
        </w:numPr>
        <w:spacing w:before="240" w:after="240"/>
        <w:jc w:val="both"/>
      </w:pPr>
      <w:r w:rsidRPr="00175104">
        <w:t>Community Representative</w:t>
      </w:r>
    </w:p>
    <w:p w:rsidR="00716CF1" w:rsidRPr="00175104" w:rsidP="00716CF1" w14:paraId="3DD1A946" w14:textId="77777777">
      <w:pPr>
        <w:pStyle w:val="MediumGrid1-Accent21"/>
        <w:spacing w:before="240" w:after="240"/>
        <w:ind w:left="2880"/>
        <w:jc w:val="both"/>
      </w:pPr>
    </w:p>
    <w:p w:rsidR="00716CF1" w:rsidRPr="00175104" w:rsidP="00716CF1" w14:paraId="3DD1A947" w14:textId="77777777">
      <w:pPr>
        <w:pStyle w:val="MediumGrid1-Accent21"/>
        <w:numPr>
          <w:ilvl w:val="3"/>
          <w:numId w:val="6"/>
        </w:numPr>
        <w:spacing w:before="240" w:after="240"/>
        <w:jc w:val="both"/>
      </w:pPr>
      <w:r w:rsidRPr="00175104">
        <w:t>Ex officio nonvoting members, e.g.</w:t>
      </w:r>
    </w:p>
    <w:p w:rsidR="00716CF1" w:rsidRPr="00175104" w:rsidP="00716CF1" w14:paraId="3DD1A948" w14:textId="77777777">
      <w:pPr>
        <w:pStyle w:val="MediumGrid1-Accent21"/>
        <w:numPr>
          <w:ilvl w:val="4"/>
          <w:numId w:val="6"/>
        </w:numPr>
        <w:spacing w:before="240" w:after="240"/>
        <w:jc w:val="both"/>
      </w:pPr>
      <w:r>
        <w:t>Vice President for Research</w:t>
      </w:r>
    </w:p>
    <w:p w:rsidR="00716CF1" w:rsidRPr="00175104" w:rsidP="00716CF1" w14:paraId="3DD1A949" w14:textId="77777777">
      <w:pPr>
        <w:pStyle w:val="MediumGrid1-Accent21"/>
        <w:numPr>
          <w:ilvl w:val="4"/>
          <w:numId w:val="6"/>
        </w:numPr>
        <w:spacing w:before="240" w:after="240"/>
        <w:jc w:val="both"/>
      </w:pPr>
      <w:r w:rsidRPr="00175104">
        <w:t>Representative from Legal</w:t>
      </w:r>
    </w:p>
    <w:p w:rsidR="00716CF1" w:rsidRPr="00175104" w:rsidP="00716CF1" w14:paraId="3DD1A94A" w14:textId="77777777">
      <w:pPr>
        <w:pStyle w:val="MediumGrid1-Accent21"/>
        <w:spacing w:before="240" w:after="240"/>
        <w:ind w:left="2880"/>
        <w:jc w:val="both"/>
      </w:pPr>
    </w:p>
    <w:p w:rsidR="00716CF1" w:rsidRPr="001B42E6" w:rsidP="00716CF1" w14:paraId="3DD1A94B" w14:textId="77777777">
      <w:pPr>
        <w:pStyle w:val="MediumGrid1-Accent21"/>
        <w:spacing w:before="240" w:after="240"/>
        <w:ind w:left="900"/>
        <w:jc w:val="both"/>
        <w:rPr>
          <w:b/>
        </w:rPr>
      </w:pPr>
    </w:p>
    <w:p w:rsidR="00716CF1" w:rsidP="00716CF1" w14:paraId="3DD1A94C" w14:textId="77777777">
      <w:pPr>
        <w:pStyle w:val="MediumGrid1-Accent21"/>
        <w:numPr>
          <w:ilvl w:val="1"/>
          <w:numId w:val="6"/>
        </w:numPr>
        <w:spacing w:before="240" w:after="240"/>
        <w:contextualSpacing w:val="0"/>
        <w:outlineLvl w:val="1"/>
        <w:rPr>
          <w:b/>
        </w:rPr>
      </w:pPr>
      <w:bookmarkStart w:id="16" w:name="_Toc476202292"/>
      <w:r>
        <w:rPr>
          <w:b/>
        </w:rPr>
        <w:t>Quorum</w:t>
      </w:r>
      <w:bookmarkEnd w:id="16"/>
    </w:p>
    <w:p w:rsidR="00716CF1" w:rsidP="00716CF1" w14:paraId="3DD1A94D" w14:textId="77777777">
      <w:pPr>
        <w:pStyle w:val="MediumGrid1-Accent21"/>
        <w:spacing w:before="240" w:after="240"/>
        <w:ind w:left="907"/>
      </w:pPr>
      <w:r>
        <w:t>A quorum of the membership of the SCRO Committee, including</w:t>
      </w:r>
      <w:r>
        <w:t xml:space="preserve"> at least one member with relevant scientific expertise and at least one member whose primary concerns are in nonscientific areas, must be met before a meeting can be convened. The MUSC SCRO </w:t>
      </w:r>
      <w:r>
        <w:t>Committee deems quorum as the presence of at least</w:t>
      </w:r>
      <w:r w:rsidRPr="001B42E6">
        <w:t xml:space="preserve"> one-half</w:t>
      </w:r>
      <w:r>
        <w:t xml:space="preserve"> the v</w:t>
      </w:r>
      <w:r>
        <w:t>oting membership plus one. In the event a member must participate by teleconference, the member will have access to the review materials prior to the meeting and the minutes of the convened SCRO committee meeting will reflect that the member participated b</w:t>
      </w:r>
      <w:r>
        <w:t xml:space="preserve">y teleconference. </w:t>
      </w:r>
    </w:p>
    <w:p w:rsidR="00716CF1" w:rsidRPr="001B42E6" w:rsidP="00716CF1" w14:paraId="3DD1A94E" w14:textId="77777777">
      <w:pPr>
        <w:pStyle w:val="MediumGrid1-Accent21"/>
        <w:spacing w:before="240" w:after="240"/>
        <w:ind w:left="900"/>
      </w:pPr>
    </w:p>
    <w:p w:rsidR="00716CF1" w:rsidRPr="002C4C21" w:rsidP="00716CF1" w14:paraId="3DD1A94F" w14:textId="77777777">
      <w:pPr>
        <w:pStyle w:val="MediumGrid1-Accent21"/>
        <w:numPr>
          <w:ilvl w:val="1"/>
          <w:numId w:val="6"/>
        </w:numPr>
        <w:spacing w:before="240" w:after="240"/>
        <w:outlineLvl w:val="1"/>
        <w:rPr>
          <w:b/>
        </w:rPr>
      </w:pPr>
      <w:bookmarkStart w:id="17" w:name="_Toc476202293"/>
      <w:r w:rsidRPr="002C4C21">
        <w:rPr>
          <w:b/>
        </w:rPr>
        <w:t>Coordination with other regulatory oversight committees</w:t>
      </w:r>
      <w:bookmarkEnd w:id="17"/>
      <w:r w:rsidRPr="002C4C21">
        <w:rPr>
          <w:b/>
        </w:rPr>
        <w:t xml:space="preserve"> </w:t>
      </w:r>
    </w:p>
    <w:p w:rsidR="00716CF1" w:rsidP="00716CF1" w14:paraId="3DD1A950" w14:textId="77777777">
      <w:pPr>
        <w:pStyle w:val="MediumGrid1-Accent21"/>
        <w:spacing w:before="240" w:after="240"/>
        <w:ind w:left="900"/>
        <w:outlineLvl w:val="1"/>
        <w:rPr>
          <w:b/>
        </w:rPr>
      </w:pPr>
    </w:p>
    <w:p w:rsidR="00716CF1" w:rsidP="00716CF1" w14:paraId="3DD1A951" w14:textId="77777777">
      <w:pPr>
        <w:pStyle w:val="MediumGrid1-Accent21"/>
        <w:spacing w:before="240" w:after="240"/>
        <w:ind w:left="907"/>
      </w:pPr>
      <w:r>
        <w:t>The SCRO Chair and Administrator will communicate outcomes of the committee’s d</w:t>
      </w:r>
      <w:r w:rsidRPr="002C4C21">
        <w:t>eliberation</w:t>
      </w:r>
      <w:r>
        <w:t>s</w:t>
      </w:r>
      <w:r w:rsidRPr="002C4C21">
        <w:t xml:space="preserve"> to other regulatory oversight committees (IRB, IACUC, IBC) </w:t>
      </w:r>
      <w:r>
        <w:t xml:space="preserve">as needed, </w:t>
      </w:r>
      <w:r w:rsidRPr="002C4C21">
        <w:t>in a timely mann</w:t>
      </w:r>
      <w:r w:rsidRPr="002C4C21">
        <w:t>er.  Review and approval by the SCRO Committee is in addition to and is not a replacement for approval by or adherence to other University policies, federal regulations, and state and local law s governing research. Other policies that need to be considere</w:t>
      </w:r>
      <w:r w:rsidRPr="002C4C21">
        <w:t xml:space="preserve">d include, but are not limited to, review by the Institutional Animal Care and Use Committee (IACUC), the Institutional Review Board (IRB), </w:t>
      </w:r>
      <w:r>
        <w:t xml:space="preserve">or </w:t>
      </w:r>
      <w:r w:rsidRPr="002C4C21">
        <w:t xml:space="preserve">the Institutional Biosafety Committee (IBC).  </w:t>
      </w:r>
    </w:p>
    <w:p w:rsidR="00716CF1" w:rsidP="00716CF1" w14:paraId="3DD1A952" w14:textId="77777777">
      <w:pPr>
        <w:pStyle w:val="MediumGrid1-Accent21"/>
        <w:spacing w:before="240" w:after="240"/>
        <w:ind w:left="907"/>
      </w:pPr>
    </w:p>
    <w:p w:rsidR="00716CF1" w:rsidRPr="002C4C21" w:rsidP="00716CF1" w14:paraId="3DD1A953" w14:textId="77777777">
      <w:pPr>
        <w:pStyle w:val="MediumGrid1-Accent21"/>
        <w:spacing w:before="240" w:after="240"/>
        <w:ind w:left="907"/>
      </w:pPr>
      <w:r w:rsidRPr="002C4C21">
        <w:t>No research</w:t>
      </w:r>
      <w:r>
        <w:t xml:space="preserve"> subject to this </w:t>
      </w:r>
      <w:r w:rsidRPr="007271DE">
        <w:t>Human Stem Cells Policy</w:t>
      </w:r>
      <w:r w:rsidRPr="002C4C21">
        <w:t xml:space="preserve"> may be initia</w:t>
      </w:r>
      <w:r w:rsidRPr="002C4C21">
        <w:t xml:space="preserve">ted until all regulatory oversight approvals have been obtained. For projects that involve more than one institution, review of the scientific merit, justification, and compliance status of the research may be carried out by a single SCRO committee if all </w:t>
      </w:r>
      <w:r w:rsidRPr="002C4C21">
        <w:t xml:space="preserve">participating institutions agree. At MUSC, the </w:t>
      </w:r>
      <w:r>
        <w:t>Vice President for Research shall</w:t>
      </w:r>
      <w:r w:rsidRPr="002C4C21">
        <w:t xml:space="preserve"> make this decision.  </w:t>
      </w:r>
    </w:p>
    <w:p w:rsidR="00716CF1" w:rsidP="00716CF1" w14:paraId="3DD1A954" w14:textId="77777777">
      <w:pPr>
        <w:pStyle w:val="MediumGrid1-Accent21"/>
        <w:spacing w:before="240" w:after="240"/>
        <w:ind w:left="907"/>
        <w:contextualSpacing w:val="0"/>
        <w:jc w:val="both"/>
      </w:pPr>
      <w:r>
        <w:t xml:space="preserve"> </w:t>
      </w:r>
    </w:p>
    <w:p w:rsidR="00716CF1" w:rsidRPr="005F432D" w:rsidP="00716CF1" w14:paraId="3DD1A955" w14:textId="77777777">
      <w:pPr>
        <w:pStyle w:val="MediumGrid1-Accent21"/>
        <w:numPr>
          <w:ilvl w:val="1"/>
          <w:numId w:val="7"/>
        </w:numPr>
        <w:spacing w:before="240" w:after="240"/>
        <w:contextualSpacing w:val="0"/>
        <w:jc w:val="both"/>
        <w:outlineLvl w:val="1"/>
      </w:pPr>
      <w:bookmarkStart w:id="18" w:name="_Toc476202294"/>
      <w:r>
        <w:rPr>
          <w:b/>
        </w:rPr>
        <w:t>Standard of Review</w:t>
      </w:r>
      <w:bookmarkEnd w:id="18"/>
    </w:p>
    <w:p w:rsidR="00716CF1" w:rsidP="00716CF1" w14:paraId="3DD1A956" w14:textId="77777777">
      <w:pPr>
        <w:pStyle w:val="MediumGrid1-Accent21"/>
        <w:spacing w:before="240" w:after="240"/>
        <w:ind w:left="900"/>
        <w:jc w:val="both"/>
      </w:pPr>
      <w:r w:rsidRPr="002564DC">
        <w:t xml:space="preserve">The designated SCRO Committee shall provide scientific and ethical review and </w:t>
      </w:r>
      <w:r>
        <w:t xml:space="preserve">recommendations for </w:t>
      </w:r>
      <w:r w:rsidRPr="002564DC">
        <w:t xml:space="preserve">approval of </w:t>
      </w:r>
      <w:r>
        <w:t>MUSC</w:t>
      </w:r>
      <w:r w:rsidRPr="002564DC">
        <w:t xml:space="preserve"> research on human</w:t>
      </w:r>
      <w:r w:rsidRPr="002564DC">
        <w:t xml:space="preserve"> stem cell lines as described in </w:t>
      </w:r>
      <w:r>
        <w:t>this policy</w:t>
      </w:r>
      <w:r w:rsidRPr="002564DC">
        <w:t>. The SCRO Committee shall ensure that human stem cell research protocols conform to the research and ethics guidelines and regulations of the organ</w:t>
      </w:r>
      <w:r>
        <w:t xml:space="preserve">ization(s) funding the research. </w:t>
      </w:r>
    </w:p>
    <w:p w:rsidR="00716CF1" w:rsidP="00716CF1" w14:paraId="3DD1A957" w14:textId="77777777">
      <w:pPr>
        <w:pStyle w:val="MediumGrid1-Accent21"/>
        <w:spacing w:before="240" w:after="240"/>
        <w:ind w:left="900"/>
        <w:jc w:val="both"/>
      </w:pPr>
    </w:p>
    <w:p w:rsidR="00716CF1" w:rsidP="00716CF1" w14:paraId="3DD1A958" w14:textId="56D20C53">
      <w:pPr>
        <w:pStyle w:val="MediumGrid1-Accent21"/>
        <w:spacing w:before="240" w:after="240"/>
        <w:ind w:left="900"/>
        <w:jc w:val="both"/>
      </w:pPr>
      <w:r>
        <w:t>In circumstances where a fund</w:t>
      </w:r>
      <w:r>
        <w:t>ing organization does not have established ethics guidelines and regulations, the MUSC SCRO Committee will follow the major recommendations outlined in the 201</w:t>
      </w:r>
      <w:r w:rsidR="00FC4970">
        <w:t>0</w:t>
      </w:r>
      <w:r>
        <w:t xml:space="preserve"> Amendments to the National Academies’ Guidelines for Human Embryonic Stem Cell Research and the</w:t>
      </w:r>
      <w:r>
        <w:t xml:space="preserve"> international voluntary standards written by the International Society for Stem Cell Research (ISSCR).   </w:t>
      </w:r>
    </w:p>
    <w:p w:rsidR="00716CF1" w:rsidP="00716CF1" w14:paraId="3DD1A959" w14:textId="77777777">
      <w:pPr>
        <w:pStyle w:val="MediumGrid1-Accent21"/>
        <w:spacing w:before="240" w:after="240"/>
        <w:ind w:left="900"/>
        <w:jc w:val="both"/>
      </w:pPr>
    </w:p>
    <w:p w:rsidR="00716CF1" w:rsidP="00716CF1" w14:paraId="3DD1A95A" w14:textId="77777777">
      <w:pPr>
        <w:pStyle w:val="MediumGrid1-Accent21"/>
        <w:spacing w:before="240" w:after="240"/>
        <w:ind w:left="900"/>
        <w:jc w:val="both"/>
      </w:pPr>
    </w:p>
    <w:p w:rsidR="00716CF1" w:rsidP="00716CF1" w14:paraId="3DD1A95B" w14:textId="77777777">
      <w:pPr>
        <w:pStyle w:val="MediumGrid1-Accent21"/>
        <w:numPr>
          <w:ilvl w:val="0"/>
          <w:numId w:val="8"/>
        </w:numPr>
        <w:spacing w:before="240" w:after="240"/>
        <w:contextualSpacing w:val="0"/>
        <w:outlineLvl w:val="0"/>
        <w:rPr>
          <w:b/>
        </w:rPr>
      </w:pPr>
      <w:bookmarkStart w:id="19" w:name="_Toc476202295"/>
      <w:r>
        <w:rPr>
          <w:b/>
        </w:rPr>
        <w:t>REFERENCES</w:t>
      </w:r>
      <w:bookmarkEnd w:id="19"/>
    </w:p>
    <w:p w:rsidR="00716CF1" w:rsidP="00716CF1" w14:paraId="3DD1A95C" w14:textId="77777777">
      <w:pPr>
        <w:pStyle w:val="MediumGrid1-Accent21"/>
        <w:spacing w:before="240" w:after="240"/>
        <w:contextualSpacing w:val="0"/>
        <w:jc w:val="both"/>
      </w:pPr>
      <w:r>
        <w:t>2009 National Institutes of Health Guidelines on Human Stem Cell Research (</w:t>
      </w:r>
      <w:hyperlink r:id="rId6" w:history="1">
        <w:r w:rsidRPr="00AF7BA9">
          <w:rPr>
            <w:rStyle w:val="Hyperlink"/>
          </w:rPr>
          <w:t>http://stemcells.nih.gov/policy/pages/2009guidelines.aspx</w:t>
        </w:r>
      </w:hyperlink>
      <w:r>
        <w:t>)</w:t>
      </w:r>
    </w:p>
    <w:p w:rsidR="00716CF1" w:rsidP="00716CF1" w14:paraId="3DD1A95D" w14:textId="4597071C">
      <w:pPr>
        <w:pStyle w:val="MediumGrid1-Accent21"/>
        <w:spacing w:before="240" w:after="240"/>
        <w:contextualSpacing w:val="0"/>
        <w:jc w:val="both"/>
      </w:pPr>
      <w:r>
        <w:t xml:space="preserve">2010 Amendments to the National Academies’ Guidelines for Human Embryonic Stem Cell </w:t>
      </w:r>
      <w:r>
        <w:t xml:space="preserve">Research </w:t>
      </w:r>
      <w:r w:rsidR="00FC4970">
        <w:t>(</w:t>
      </w:r>
      <w:r w:rsidRPr="00FC4970" w:rsidR="00FC4970">
        <w:t xml:space="preserve"> </w:t>
      </w:r>
      <w:hyperlink r:id="rId7" w:history="1">
        <w:r w:rsidRPr="00813283" w:rsidR="00FC4970">
          <w:rPr>
            <w:rStyle w:val="Hyperlink"/>
          </w:rPr>
          <w:t>https://nap.nationalacademies.org/read/12923</w:t>
        </w:r>
      </w:hyperlink>
      <w:r w:rsidR="00FC4970">
        <w:t xml:space="preserve"> )</w:t>
      </w:r>
    </w:p>
    <w:p w:rsidR="00716CF1" w:rsidP="00716CF1" w14:paraId="3DD1A95E" w14:textId="7127E194">
      <w:pPr>
        <w:pStyle w:val="MediumGrid1-Accent21"/>
        <w:spacing w:before="240" w:after="240"/>
        <w:contextualSpacing w:val="0"/>
        <w:jc w:val="both"/>
        <w:rPr>
          <w:b/>
        </w:rPr>
      </w:pPr>
      <w:r>
        <w:t xml:space="preserve">International Society for Stem Cell Research  </w:t>
      </w:r>
      <w:r w:rsidRPr="003459C9">
        <w:t>Guidelines for the Conduct of Human Embryonic Stem Cell Re</w:t>
      </w:r>
      <w:r w:rsidRPr="003459C9">
        <w:t>search</w:t>
      </w:r>
      <w:r w:rsidR="00FC4970">
        <w:t>, 2021 Update</w:t>
      </w:r>
      <w:r>
        <w:t xml:space="preserve"> (ISSCR; </w:t>
      </w:r>
      <w:hyperlink r:id="rId8" w:history="1">
        <w:r w:rsidRPr="00813283" w:rsidR="00FC4970">
          <w:rPr>
            <w:rStyle w:val="Hyperlink"/>
          </w:rPr>
          <w:t>https://www.isscr.org/guidelines</w:t>
        </w:r>
      </w:hyperlink>
      <w:r w:rsidR="00FC4970">
        <w:t xml:space="preserve"> )</w:t>
      </w:r>
    </w:p>
    <w:p w:rsidR="00D13302" w:rsidRPr="003E57FA" w:rsidP="003E57FA" w14:paraId="3DD1A95F" w14:textId="77777777">
      <w:pPr>
        <w:tabs>
          <w:tab w:val="left" w:pos="3049"/>
        </w:tabs>
      </w:pPr>
    </w:p>
    <w:sectPr w:rsidSect="00FA481C">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533"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23708256"/>
      <w:docPartObj>
        <w:docPartGallery w:val="Page Numbers (Bottom of Page)"/>
        <w:docPartUnique/>
      </w:docPartObj>
    </w:sdtPr>
    <w:sdtEndPr>
      <w:rPr>
        <w:rStyle w:val="PageNumber"/>
      </w:rPr>
    </w:sdtEndPr>
    <w:sdtContent>
      <w:p w:rsidR="001414E0" w:rsidP="00C944F1" w14:paraId="3DD1A969" w14:textId="7777777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1414E0" w:rsidP="001414E0" w14:paraId="3DD1A96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Fonts w:ascii="Arial" w:hAnsi="Arial" w:cs="Arial"/>
      </w:rPr>
      <w:id w:val="2108073340"/>
      <w:docPartObj>
        <w:docPartGallery w:val="Page Numbers (Bottom of Page)"/>
        <w:docPartUnique/>
      </w:docPartObj>
    </w:sdtPr>
    <w:sdtEndPr>
      <w:rPr>
        <w:rStyle w:val="PageNumber"/>
      </w:rPr>
    </w:sdtEndPr>
    <w:sdtContent>
      <w:p w:rsidR="001408C0" w:rsidP="001408C0" w14:paraId="3DD1A96B" w14:textId="77777777">
        <w:pPr>
          <w:framePr w:wrap="none" w:vAnchor="text" w:hAnchor="margin" w:xAlign="right" w:y="1"/>
          <w:rPr>
            <w:rStyle w:val="PageNumber"/>
            <w:rFonts w:ascii="Arial" w:hAnsi="Arial" w:cs="Arial"/>
          </w:rPr>
        </w:pPr>
      </w:p>
      <w:p w:rsidR="001408C0" w:rsidRPr="001408C0" w:rsidP="001408C0" w14:paraId="3DD1A96C" w14:textId="77777777">
        <w:pPr>
          <w:framePr w:wrap="none" w:vAnchor="text" w:hAnchor="margin" w:xAlign="right" w:y="1"/>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EF73F1" w:rsidRPr="001408C0" w:rsidP="001408C0" w14:paraId="3DD1A96D" w14:textId="77777777">
        <w:pPr>
          <w:framePr w:wrap="none" w:vAnchor="text" w:hAnchor="margin" w:xAlign="right" w:y="1"/>
          <w:rPr>
            <w:rStyle w:val="PageNumbe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If not applicable, enter NA</w:t>
        </w:r>
      </w:p>
      <w:p w:rsidR="001414E0" w:rsidRPr="00553B05" w:rsidP="00EF73F1" w14:paraId="3DD1A96E" w14:textId="77777777">
        <w:pPr>
          <w:pStyle w:val="Footer"/>
          <w:framePr w:wrap="none" w:vAnchor="text" w:hAnchor="margin" w:xAlign="right" w:y="1"/>
          <w:jc w:val="right"/>
          <w:rPr>
            <w:rStyle w:val="PageNumber"/>
            <w:rFonts w:ascii="Arial" w:hAnsi="Arial" w:cs="Arial"/>
          </w:rPr>
        </w:pPr>
        <w:r w:rsidRPr="00553B05">
          <w:rPr>
            <w:rStyle w:val="PageNumber"/>
            <w:rFonts w:ascii="Arial" w:hAnsi="Arial" w:cs="Arial"/>
          </w:rPr>
          <w:t xml:space="preserve">Page </w:t>
        </w:r>
        <w:r w:rsidRPr="00553B05">
          <w:rPr>
            <w:rStyle w:val="PageNumber"/>
            <w:rFonts w:ascii="Arial" w:hAnsi="Arial" w:cs="Arial"/>
          </w:rPr>
          <w:fldChar w:fldCharType="begin"/>
        </w:r>
        <w:r w:rsidRPr="00553B05">
          <w:rPr>
            <w:rStyle w:val="PageNumber"/>
            <w:rFonts w:ascii="Arial" w:hAnsi="Arial" w:cs="Arial"/>
          </w:rPr>
          <w:instrText xml:space="preserve"> PAGE </w:instrText>
        </w:r>
        <w:r w:rsidRPr="00553B05">
          <w:rPr>
            <w:rStyle w:val="PageNumber"/>
            <w:rFonts w:ascii="Arial" w:hAnsi="Arial" w:cs="Arial"/>
          </w:rPr>
          <w:fldChar w:fldCharType="separate"/>
        </w:r>
        <w:r w:rsidRPr="00553B05">
          <w:rPr>
            <w:rStyle w:val="PageNumber"/>
            <w:rFonts w:ascii="Arial" w:hAnsi="Arial" w:cs="Arial"/>
          </w:rPr>
          <w:t>9</w:t>
        </w:r>
        <w:r w:rsidRPr="00553B05">
          <w:rPr>
            <w:rStyle w:val="PageNumber"/>
            <w:rFonts w:ascii="Arial" w:hAnsi="Arial" w:cs="Arial"/>
          </w:rPr>
          <w:fldChar w:fldCharType="end"/>
        </w:r>
        <w:r w:rsidRPr="00553B05">
          <w:rPr>
            <w:rStyle w:val="PageNumber"/>
            <w:rFonts w:ascii="Arial" w:hAnsi="Arial" w:cs="Arial"/>
          </w:rPr>
          <w:t xml:space="preserve"> of </w:t>
        </w:r>
        <w:r w:rsidRPr="00553B05">
          <w:rPr>
            <w:rStyle w:val="PageNumber"/>
            <w:rFonts w:ascii="Arial" w:hAnsi="Arial" w:cs="Arial"/>
          </w:rPr>
          <w:fldChar w:fldCharType="begin"/>
        </w:r>
        <w:r w:rsidRPr="00553B05">
          <w:rPr>
            <w:rStyle w:val="PageNumber"/>
            <w:rFonts w:ascii="Arial" w:hAnsi="Arial" w:cs="Arial"/>
          </w:rPr>
          <w:instrText xml:space="preserve"> NUMPAGES </w:instrText>
        </w:r>
        <w:r w:rsidRPr="00553B05">
          <w:rPr>
            <w:rStyle w:val="PageNumber"/>
            <w:rFonts w:ascii="Arial" w:hAnsi="Arial" w:cs="Arial"/>
          </w:rPr>
          <w:fldChar w:fldCharType="separate"/>
        </w:r>
        <w:r w:rsidRPr="00553B05">
          <w:rPr>
            <w:rStyle w:val="PageNumber"/>
            <w:rFonts w:ascii="Arial" w:hAnsi="Arial" w:cs="Arial"/>
          </w:rPr>
          <w:t>9</w:t>
        </w:r>
        <w:r w:rsidRPr="00553B05">
          <w:rPr>
            <w:rStyle w:val="PageNumber"/>
            <w:rFonts w:ascii="Arial" w:hAnsi="Arial" w:cs="Arial"/>
          </w:rPr>
          <w:fldChar w:fldCharType="end"/>
        </w:r>
      </w:p>
    </w:sdtContent>
  </w:sdt>
  <w:p w:rsidR="001414E0" w:rsidP="001414E0" w14:paraId="3DD1A96F" w14:textId="77777777">
    <w:pPr>
      <w:pStyle w:val="Footer"/>
      <w:ind w:right="360"/>
      <w:rPr>
        <w:rFonts w:ascii="Arial" w:hAnsi="Arial" w:cs="Arial"/>
      </w:rPr>
    </w:pPr>
  </w:p>
  <w:p w:rsidR="00EF73F1" w:rsidRPr="00553B05" w:rsidP="001414E0" w14:paraId="3DD1A970" w14:textId="77777777">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8C0" w:rsidP="001408C0" w14:paraId="3DD1A986" w14:textId="77777777">
    <w:pPr>
      <w:rPr>
        <w:rFonts w:ascii="Arial" w:hAnsi="Arial" w:cs="Arial"/>
        <w:bCs/>
        <w:sz w:val="18"/>
        <w:szCs w:val="18"/>
      </w:rPr>
    </w:pPr>
  </w:p>
  <w:p w:rsidR="001408C0" w:rsidRPr="001408C0" w:rsidP="001408C0" w14:paraId="3DD1A987"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Policies become effective on the date of publication</w:t>
    </w:r>
  </w:p>
  <w:p w:rsidR="0035709C" w:rsidRPr="006A216D" w:rsidP="001408C0" w14:paraId="3DD1A988" w14:textId="77777777">
    <w:pPr>
      <w:rPr>
        <w:rFonts w:ascii="Arial" w:hAnsi="Arial" w:cs="Arial"/>
        <w:bCs/>
        <w:sz w:val="18"/>
        <w:szCs w:val="18"/>
      </w:rPr>
    </w:pPr>
    <w:r w:rsidRPr="001408C0">
      <w:rPr>
        <w:rFonts w:ascii="Arial" w:hAnsi="Arial" w:cs="Arial"/>
        <w:bCs/>
        <w:sz w:val="18"/>
        <w:szCs w:val="18"/>
      </w:rPr>
      <w:t>**</w:t>
    </w:r>
    <w:r w:rsidRPr="001408C0">
      <w:rPr>
        <w:rFonts w:ascii="Arial" w:hAnsi="Arial" w:cs="Arial"/>
        <w:bCs/>
        <w:sz w:val="18"/>
        <w:szCs w:val="18"/>
      </w:rPr>
      <w:tab/>
      <w:t xml:space="preserve">If not </w:t>
    </w:r>
    <w:r w:rsidRPr="001408C0">
      <w:rPr>
        <w:rFonts w:ascii="Arial" w:hAnsi="Arial" w:cs="Arial"/>
        <w:bCs/>
        <w:sz w:val="18"/>
        <w:szCs w:val="18"/>
      </w:rPr>
      <w:t>applicable, enter 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701A7" w14:paraId="3DD1A960" w14:textId="77777777">
      <w:r>
        <w:separator/>
      </w:r>
    </w:p>
  </w:footnote>
  <w:footnote w:type="continuationSeparator" w:id="1">
    <w:p w:rsidR="006701A7" w14:paraId="3DD1A961" w14:textId="77777777">
      <w:r>
        <w:continuationSeparator/>
      </w:r>
    </w:p>
  </w:footnote>
  <w:footnote w:id="2">
    <w:p w:rsidR="00716CF1" w:rsidRPr="00716CF1" w:rsidP="00716CF1" w14:paraId="3DD1A98E" w14:textId="77777777">
      <w:pPr>
        <w:pStyle w:val="FootnoteText"/>
        <w:rPr>
          <w:rFonts w:cs="Arial"/>
          <w:color w:val="000000"/>
          <w:sz w:val="24"/>
          <w:szCs w:val="24"/>
          <w:lang w:bidi="ar-SA"/>
        </w:rPr>
      </w:pPr>
      <w:r w:rsidRPr="00716CF1">
        <w:rPr>
          <w:rStyle w:val="FootnoteReference"/>
          <w:sz w:val="24"/>
          <w:szCs w:val="24"/>
        </w:rPr>
        <w:footnoteRef/>
      </w:r>
      <w:r w:rsidRPr="00716CF1">
        <w:rPr>
          <w:sz w:val="24"/>
          <w:szCs w:val="24"/>
        </w:rPr>
        <w:t xml:space="preserve"> </w:t>
      </w:r>
      <w:r w:rsidRPr="00716CF1">
        <w:rPr>
          <w:rFonts w:cs="Arial"/>
          <w:color w:val="000000"/>
          <w:sz w:val="24"/>
          <w:szCs w:val="24"/>
          <w:lang w:bidi="ar-SA"/>
        </w:rPr>
        <w:t xml:space="preserve">For purposes of this document, pluripotent stem cell lines have been “acceptably derived” when they have been: </w:t>
      </w:r>
    </w:p>
    <w:p w:rsidR="00716CF1" w:rsidRPr="00716CF1" w:rsidP="00716CF1" w14:paraId="3DD1A98F" w14:textId="77777777">
      <w:pPr>
        <w:pStyle w:val="FootnoteText"/>
        <w:rPr>
          <w:sz w:val="24"/>
          <w:szCs w:val="24"/>
        </w:rPr>
      </w:pPr>
      <w:r w:rsidRPr="00716CF1">
        <w:rPr>
          <w:sz w:val="24"/>
          <w:szCs w:val="24"/>
        </w:rPr>
        <w:t>(a) Approved by the National Institutes of Health (NIH); or</w:t>
      </w:r>
    </w:p>
    <w:p w:rsidR="00716CF1" w:rsidRPr="00716CF1" w:rsidP="00716CF1" w14:paraId="3DD1A990" w14:textId="77777777">
      <w:pPr>
        <w:pStyle w:val="FootnoteText"/>
        <w:rPr>
          <w:sz w:val="24"/>
          <w:szCs w:val="24"/>
        </w:rPr>
      </w:pPr>
      <w:r w:rsidRPr="00716CF1">
        <w:rPr>
          <w:sz w:val="24"/>
          <w:szCs w:val="24"/>
        </w:rPr>
        <w:t>(b) Deposited in the United Kingdom Stem Cell Bank; or</w:t>
      </w:r>
    </w:p>
    <w:p w:rsidR="00716CF1" w:rsidRPr="00716CF1" w:rsidP="00716CF1" w14:paraId="3DD1A991" w14:textId="77777777">
      <w:pPr>
        <w:pStyle w:val="FootnoteText"/>
        <w:rPr>
          <w:sz w:val="24"/>
          <w:szCs w:val="24"/>
        </w:rPr>
      </w:pPr>
      <w:r w:rsidRPr="00716CF1">
        <w:rPr>
          <w:sz w:val="24"/>
          <w:szCs w:val="24"/>
        </w:rPr>
        <w:t>(c) Derived by, or approved for use by, a licensee of the United Kingdom Human Fertilization and Embryology Authority; or</w:t>
      </w:r>
    </w:p>
    <w:p w:rsidR="00716CF1" w:rsidRPr="00716CF1" w:rsidP="00716CF1" w14:paraId="3DD1A992" w14:textId="77777777">
      <w:pPr>
        <w:pStyle w:val="FootnoteText"/>
        <w:rPr>
          <w:sz w:val="24"/>
          <w:szCs w:val="24"/>
        </w:rPr>
      </w:pPr>
      <w:r w:rsidRPr="00716CF1">
        <w:rPr>
          <w:sz w:val="24"/>
          <w:szCs w:val="24"/>
        </w:rPr>
        <w:t>(d) Derived in accordance with the Canadian Institutes of Health Research Guidelines for Human Pluripotent Stem Cell Research under an</w:t>
      </w:r>
      <w:r w:rsidRPr="00716CF1">
        <w:rPr>
          <w:sz w:val="24"/>
          <w:szCs w:val="24"/>
        </w:rPr>
        <w:t xml:space="preserve"> application approved by the National Stem Cell Oversight Committee, or;</w:t>
      </w:r>
    </w:p>
    <w:p w:rsidR="00716CF1" w:rsidRPr="00716CF1" w:rsidP="00716CF1" w14:paraId="3DD1A993" w14:textId="77777777">
      <w:pPr>
        <w:pStyle w:val="FootnoteText"/>
        <w:rPr>
          <w:sz w:val="24"/>
          <w:szCs w:val="24"/>
        </w:rPr>
      </w:pPr>
      <w:r w:rsidRPr="00716CF1">
        <w:rPr>
          <w:sz w:val="24"/>
          <w:szCs w:val="24"/>
        </w:rPr>
        <w:t>(e) Derived in accordance with the Japanese Guidelines for Derivation and Utilization of Human Embryonic Stem Cells, or;</w:t>
      </w:r>
    </w:p>
    <w:p w:rsidR="00716CF1" w:rsidRPr="00716CF1" w:rsidP="00716CF1" w14:paraId="3DD1A994" w14:textId="77777777">
      <w:pPr>
        <w:pStyle w:val="FootnoteText"/>
        <w:rPr>
          <w:sz w:val="24"/>
          <w:szCs w:val="24"/>
        </w:rPr>
      </w:pPr>
      <w:r w:rsidRPr="00716CF1">
        <w:rPr>
          <w:sz w:val="24"/>
          <w:szCs w:val="24"/>
        </w:rPr>
        <w:t>(f) Found to be “acceptably derived” by the California Institu</w:t>
      </w:r>
      <w:r w:rsidRPr="00716CF1">
        <w:rPr>
          <w:sz w:val="24"/>
          <w:szCs w:val="24"/>
        </w:rPr>
        <w:t>te for Regenerative Medicine, or;</w:t>
      </w:r>
    </w:p>
    <w:p w:rsidR="00716CF1" w:rsidRPr="00716CF1" w:rsidP="00716CF1" w14:paraId="3DD1A995" w14:textId="77777777">
      <w:pPr>
        <w:pStyle w:val="FootnoteText"/>
        <w:rPr>
          <w:sz w:val="24"/>
          <w:szCs w:val="24"/>
        </w:rPr>
      </w:pPr>
      <w:r w:rsidRPr="00716CF1">
        <w:rPr>
          <w:sz w:val="24"/>
          <w:szCs w:val="24"/>
        </w:rPr>
        <w:t>(g) derived from gametes or embryos for which (i) the donation protocol was reviewed and approved by an IRB or, in the case of donations taking place outside the United States, a substantially equivalent oversight body;  (</w:t>
      </w:r>
      <w:r w:rsidRPr="00716CF1">
        <w:rPr>
          <w:sz w:val="24"/>
          <w:szCs w:val="24"/>
        </w:rPr>
        <w:t>ii) consent to donate was voluntary and informed;  (iii) donation was made with reimbursement policies consistent with the NAS Guidelines; and  (iv) donation and derivation complied with the extant legal requirements of the relevant jurisdiction.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49D7" w14:paraId="3DD1A962"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Look w:val="04A0"/>
    </w:tblPr>
    <w:tblGrid>
      <w:gridCol w:w="5395"/>
      <w:gridCol w:w="5395"/>
    </w:tblGrid>
    <w:tr w14:paraId="3DD1A964" w14:textId="77777777" w:rsidTr="00DD5721">
      <w:tblPrEx>
        <w:tblW w:w="0" w:type="auto"/>
        <w:tblLook w:val="04A0"/>
      </w:tblPrEx>
      <w:tc>
        <w:tcPr>
          <w:tcW w:w="10790" w:type="dxa"/>
          <w:gridSpan w:val="2"/>
        </w:tcPr>
        <w:p w:rsidR="00D13302" w:rsidP="00D13302" w14:paraId="3DD1A963" w14:textId="77777777">
          <w:pPr>
            <w:pStyle w:val="Header"/>
            <w:rPr>
              <w:rFonts w:ascii="Arial" w:hAnsi="Arial" w:cs="Arial"/>
              <w:sz w:val="24"/>
              <w:szCs w:val="24"/>
            </w:rPr>
          </w:pPr>
          <w:r>
            <w:rPr>
              <w:rFonts w:ascii="Arial" w:hAnsi="Arial" w:cs="Arial"/>
              <w:sz w:val="24"/>
              <w:szCs w:val="24"/>
            </w:rPr>
            <w:t xml:space="preserve">Document Title:  </w:t>
          </w: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SCRO Research Using Human Stem Cells Policy</w:t>
          </w:r>
          <w:r w:rsidRPr="00424FB7">
            <w:rPr>
              <w:rFonts w:ascii="Arial" w:hAnsi="Arial" w:cs="Arial"/>
              <w:b/>
              <w:bCs/>
              <w:sz w:val="24"/>
              <w:szCs w:val="24"/>
            </w:rPr>
            <w:fldChar w:fldCharType="end"/>
          </w:r>
        </w:p>
      </w:tc>
    </w:tr>
    <w:tr w14:paraId="3DD1A967" w14:textId="77777777" w:rsidTr="00DD5721">
      <w:tblPrEx>
        <w:tblW w:w="0" w:type="auto"/>
        <w:tblLook w:val="04A0"/>
      </w:tblPrEx>
      <w:tc>
        <w:tcPr>
          <w:tcW w:w="5395" w:type="dxa"/>
        </w:tcPr>
        <w:p w:rsidR="00D13302" w:rsidP="00D13302" w14:paraId="3DD1A965" w14:textId="77777777">
          <w:pPr>
            <w:pStyle w:val="Header"/>
            <w:rPr>
              <w:rFonts w:ascii="Arial" w:hAnsi="Arial" w:cs="Arial"/>
              <w:sz w:val="24"/>
              <w:szCs w:val="24"/>
            </w:rPr>
          </w:pPr>
          <w:r>
            <w:rPr>
              <w:rFonts w:ascii="Arial" w:hAnsi="Arial" w:cs="Arial"/>
              <w:sz w:val="24"/>
              <w:szCs w:val="24"/>
            </w:rPr>
            <w:t xml:space="preserve">Policy Number: </w:t>
          </w:r>
          <w:r w:rsidRPr="00716CF1">
            <w:rPr>
              <w:rFonts w:ascii="Arial" w:hAnsi="Arial" w:cs="Arial"/>
              <w:b/>
              <w:sz w:val="24"/>
              <w:szCs w:val="24"/>
            </w:rPr>
            <w:fldChar w:fldCharType="begin"/>
          </w:r>
          <w:r w:rsidRPr="00716CF1">
            <w:rPr>
              <w:rFonts w:ascii="Arial" w:hAnsi="Arial" w:cs="Arial"/>
              <w:b/>
              <w:sz w:val="24"/>
              <w:szCs w:val="24"/>
            </w:rPr>
            <w:instrText xml:space="preserve"> DOCVARIABLE "Reference #" \* MERGEFORMAT </w:instrText>
          </w:r>
          <w:r w:rsidRPr="00716CF1">
            <w:rPr>
              <w:rFonts w:ascii="Arial" w:hAnsi="Arial" w:cs="Arial"/>
              <w:b/>
              <w:sz w:val="24"/>
              <w:szCs w:val="24"/>
            </w:rPr>
            <w:fldChar w:fldCharType="separate"/>
          </w:r>
          <w:r w:rsidRPr="00716CF1">
            <w:rPr>
              <w:rFonts w:ascii="Arial" w:hAnsi="Arial" w:cs="Arial"/>
              <w:b/>
              <w:sz w:val="24"/>
              <w:szCs w:val="24"/>
            </w:rPr>
            <w:t>U-SCRO</w:t>
          </w:r>
          <w:r w:rsidRPr="00716CF1">
            <w:rPr>
              <w:rFonts w:ascii="Arial" w:hAnsi="Arial" w:cs="Arial"/>
              <w:b/>
              <w:sz w:val="24"/>
              <w:szCs w:val="24"/>
            </w:rPr>
            <w:fldChar w:fldCharType="end"/>
          </w:r>
        </w:p>
      </w:tc>
      <w:tc>
        <w:tcPr>
          <w:tcW w:w="5395" w:type="dxa"/>
        </w:tcPr>
        <w:p w:rsidR="00D13302" w:rsidP="00D13302" w14:paraId="3DD1A966" w14:textId="77777777">
          <w:pPr>
            <w:pStyle w:val="Header"/>
            <w:rPr>
              <w:rFonts w:ascii="Arial" w:hAnsi="Arial" w:cs="Arial"/>
              <w:sz w:val="24"/>
              <w:szCs w:val="24"/>
            </w:rPr>
          </w:pPr>
          <w:r>
            <w:rPr>
              <w:rFonts w:ascii="Arial" w:hAnsi="Arial" w:cs="Arial"/>
              <w:sz w:val="24"/>
              <w:szCs w:val="24"/>
            </w:rPr>
            <w:t>Effective Date:</w:t>
          </w:r>
          <w:r>
            <w:rPr>
              <w:rFonts w:ascii="Arial" w:hAnsi="Arial" w:cs="Arial"/>
              <w:bCs/>
              <w:sz w:val="24"/>
              <w:szCs w:val="24"/>
            </w:rPr>
            <w:t xml:space="preserve"> 06/06/2017</w:t>
          </w:r>
        </w:p>
      </w:tc>
    </w:tr>
  </w:tbl>
  <w:p w:rsidR="00FA481C" w:rsidRPr="00AC56B2" w14:paraId="3DD1A968" w14:textId="77777777">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37C1" w:rsidP="00DF5DC5" w14:paraId="3DD1A971" w14:textId="77777777">
    <w:pPr>
      <w:pStyle w:val="Heading1"/>
      <w:rPr>
        <w:rFonts w:ascii="Arial" w:hAnsi="Arial" w:cs="Arial"/>
      </w:rPr>
    </w:pPr>
    <w:r w:rsidRPr="00AC56B2">
      <w:rPr>
        <w:rFonts w:ascii="Arial" w:hAnsi="Arial" w:cs="Arial"/>
        <w:noProof/>
      </w:rPr>
      <w:drawing>
        <wp:anchor distT="0" distB="0" distL="114300" distR="114300" simplePos="0" relativeHeight="251658240" behindDoc="0" locked="0" layoutInCell="1" allowOverlap="1">
          <wp:simplePos x="0" y="0"/>
          <wp:positionH relativeFrom="column">
            <wp:posOffset>-66675</wp:posOffset>
          </wp:positionH>
          <wp:positionV relativeFrom="page">
            <wp:posOffset>152400</wp:posOffset>
          </wp:positionV>
          <wp:extent cx="1530350" cy="1104265"/>
          <wp:effectExtent l="0" t="0" r="0" b="635"/>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530350" cy="1104265"/>
                  </a:xfrm>
                  <a:prstGeom prst="rect">
                    <a:avLst/>
                  </a:prstGeom>
                  <a:noFill/>
                  <a:ln>
                    <a:noFill/>
                  </a:ln>
                </pic:spPr>
              </pic:pic>
            </a:graphicData>
          </a:graphic>
        </wp:anchor>
      </w:drawing>
    </w:r>
    <w:r>
      <w:rPr>
        <w:rFonts w:ascii="Arial" w:hAnsi="Arial" w:cs="Arial"/>
      </w:rPr>
      <w:tab/>
    </w:r>
    <w:r>
      <w:rPr>
        <w:rFonts w:ascii="Arial" w:hAnsi="Arial" w:cs="Arial"/>
      </w:rPr>
      <w:tab/>
      <w:t>University Policy</w:t>
    </w:r>
  </w:p>
  <w:p w:rsidR="00DF5DC5" w:rsidP="00DF5DC5" w14:paraId="3DD1A972" w14:textId="77777777"/>
  <w:p w:rsidR="00DF5DC5" w:rsidP="00DF5DC5" w14:paraId="3DD1A973" w14:textId="77777777"/>
  <w:p w:rsidR="00DF5DC5" w:rsidRPr="00DF5DC5" w:rsidP="00DF5DC5" w14:paraId="3DD1A974" w14:textId="77777777"/>
  <w:tbl>
    <w:tblPr>
      <w:tblStyle w:val="TableGrid"/>
      <w:tblW w:w="0" w:type="auto"/>
      <w:tblLook w:val="04A0"/>
    </w:tblPr>
    <w:tblGrid>
      <w:gridCol w:w="2699"/>
      <w:gridCol w:w="1917"/>
      <w:gridCol w:w="780"/>
      <w:gridCol w:w="2694"/>
      <w:gridCol w:w="2700"/>
    </w:tblGrid>
    <w:tr w14:paraId="3DD1A97A" w14:textId="77777777" w:rsidTr="00DD5721">
      <w:tblPrEx>
        <w:tblW w:w="0" w:type="auto"/>
        <w:tblLook w:val="04A0"/>
      </w:tblPrEx>
      <w:tc>
        <w:tcPr>
          <w:tcW w:w="2754" w:type="dxa"/>
          <w:vAlign w:val="center"/>
        </w:tcPr>
        <w:p w:rsidR="00CE7D2D" w:rsidRPr="00424FB7" w:rsidP="00CE7D2D" w14:paraId="3DD1A975" w14:textId="77777777">
          <w:pPr>
            <w:jc w:val="center"/>
            <w:rPr>
              <w:rFonts w:ascii="Arial" w:hAnsi="Arial" w:cs="Arial"/>
              <w:b/>
              <w:sz w:val="24"/>
              <w:szCs w:val="24"/>
            </w:rPr>
          </w:pPr>
          <w:r w:rsidRPr="00424FB7">
            <w:rPr>
              <w:rFonts w:ascii="Arial" w:hAnsi="Arial" w:cs="Arial"/>
              <w:b/>
              <w:sz w:val="24"/>
              <w:szCs w:val="24"/>
            </w:rPr>
            <w:t>Section #</w:t>
          </w:r>
          <w:r>
            <w:rPr>
              <w:rFonts w:ascii="Arial" w:hAnsi="Arial" w:cs="Arial"/>
              <w:b/>
              <w:sz w:val="24"/>
              <w:szCs w:val="24"/>
            </w:rPr>
            <w:t xml:space="preserve"> **</w:t>
          </w:r>
        </w:p>
        <w:p w:rsidR="00CE7D2D" w:rsidRPr="00424FB7" w:rsidP="00CE7D2D" w14:paraId="3DD1A976" w14:textId="77777777">
          <w:pPr>
            <w:jc w:val="center"/>
            <w:rPr>
              <w:rFonts w:ascii="Arial" w:hAnsi="Arial" w:cs="Arial"/>
              <w:b/>
              <w:sz w:val="24"/>
              <w:szCs w:val="24"/>
            </w:rPr>
          </w:pPr>
          <w:r>
            <w:rPr>
              <w:rFonts w:ascii="Arial" w:hAnsi="Arial" w:cs="Arial"/>
              <w:b/>
              <w:sz w:val="24"/>
              <w:szCs w:val="24"/>
            </w:rPr>
            <w:t>N/A</w:t>
          </w:r>
        </w:p>
      </w:tc>
      <w:tc>
        <w:tcPr>
          <w:tcW w:w="1944" w:type="dxa"/>
          <w:vAlign w:val="center"/>
        </w:tcPr>
        <w:p w:rsidR="00CE7D2D" w:rsidRPr="00424FB7" w:rsidP="00CE7D2D" w14:paraId="3DD1A977" w14:textId="77777777">
          <w:pPr>
            <w:jc w:val="center"/>
            <w:rPr>
              <w:rFonts w:ascii="Arial" w:hAnsi="Arial" w:cs="Arial"/>
              <w:b/>
              <w:sz w:val="24"/>
              <w:szCs w:val="24"/>
            </w:rPr>
          </w:pPr>
          <w:r w:rsidRPr="00424FB7">
            <w:rPr>
              <w:rFonts w:ascii="Arial" w:hAnsi="Arial" w:cs="Arial"/>
              <w:b/>
              <w:sz w:val="24"/>
              <w:szCs w:val="24"/>
            </w:rPr>
            <w:t>Policy #</w:t>
          </w:r>
        </w:p>
        <w:p w:rsidR="00CE7D2D" w:rsidRPr="00424FB7" w:rsidP="00CE7D2D" w14:paraId="3DD1A978" w14:textId="77777777">
          <w:pPr>
            <w:jc w:val="center"/>
            <w:rPr>
              <w:rFonts w:ascii="Arial" w:hAnsi="Arial" w:cs="Arial"/>
              <w:b/>
              <w:sz w:val="24"/>
              <w:szCs w:val="24"/>
            </w:rPr>
          </w:pPr>
          <w:r w:rsidRPr="00424FB7">
            <w:rPr>
              <w:rFonts w:ascii="Arial" w:hAnsi="Arial" w:cs="Arial"/>
              <w:sz w:val="24"/>
              <w:szCs w:val="24"/>
            </w:rPr>
            <w:fldChar w:fldCharType="begin"/>
          </w:r>
          <w:r w:rsidRPr="00424FB7">
            <w:rPr>
              <w:rFonts w:ascii="Arial" w:hAnsi="Arial" w:cs="Arial"/>
              <w:sz w:val="24"/>
              <w:szCs w:val="24"/>
            </w:rPr>
            <w:instrText xml:space="preserve"> DOCVARIABLE "Reference #" \* MERGEFORMAT </w:instrText>
          </w:r>
          <w:r w:rsidRPr="00424FB7">
            <w:rPr>
              <w:rFonts w:ascii="Arial" w:hAnsi="Arial" w:cs="Arial"/>
              <w:sz w:val="24"/>
              <w:szCs w:val="24"/>
            </w:rPr>
            <w:fldChar w:fldCharType="separate"/>
          </w:r>
          <w:r w:rsidRPr="00424FB7">
            <w:rPr>
              <w:rFonts w:ascii="Arial" w:hAnsi="Arial" w:cs="Arial"/>
              <w:sz w:val="24"/>
              <w:szCs w:val="24"/>
            </w:rPr>
            <w:t>U-SCRO</w:t>
          </w:r>
          <w:r w:rsidRPr="00424FB7">
            <w:rPr>
              <w:rFonts w:ascii="Arial" w:hAnsi="Arial" w:cs="Arial"/>
              <w:sz w:val="24"/>
              <w:szCs w:val="24"/>
            </w:rPr>
            <w:fldChar w:fldCharType="end"/>
          </w:r>
        </w:p>
      </w:tc>
      <w:tc>
        <w:tcPr>
          <w:tcW w:w="6318" w:type="dxa"/>
          <w:gridSpan w:val="3"/>
          <w:vAlign w:val="center"/>
        </w:tcPr>
        <w:p w:rsidR="00CE7D2D" w:rsidRPr="00424FB7" w:rsidP="00CE7D2D" w14:paraId="3DD1A979" w14:textId="77777777">
          <w:pPr>
            <w:jc w:val="center"/>
            <w:rPr>
              <w:rFonts w:ascii="Arial" w:hAnsi="Arial" w:cs="Arial"/>
              <w:b/>
              <w:bCs/>
              <w:sz w:val="24"/>
              <w:szCs w:val="24"/>
            </w:rPr>
          </w:pPr>
          <w:r w:rsidRPr="00424FB7">
            <w:rPr>
              <w:rFonts w:ascii="Arial" w:hAnsi="Arial" w:cs="Arial"/>
              <w:b/>
              <w:bCs/>
              <w:sz w:val="24"/>
              <w:szCs w:val="24"/>
            </w:rPr>
            <w:fldChar w:fldCharType="begin"/>
          </w:r>
          <w:r w:rsidRPr="00424FB7">
            <w:rPr>
              <w:rFonts w:ascii="Arial" w:hAnsi="Arial" w:cs="Arial"/>
              <w:b/>
              <w:bCs/>
              <w:sz w:val="24"/>
              <w:szCs w:val="24"/>
            </w:rPr>
            <w:instrText xml:space="preserve"> DOCVARIABLE "Document Title" \* MERGEFORMAT </w:instrText>
          </w:r>
          <w:r w:rsidRPr="00424FB7">
            <w:rPr>
              <w:rFonts w:ascii="Arial" w:hAnsi="Arial" w:cs="Arial"/>
              <w:b/>
              <w:bCs/>
              <w:sz w:val="24"/>
              <w:szCs w:val="24"/>
            </w:rPr>
            <w:fldChar w:fldCharType="separate"/>
          </w:r>
          <w:r w:rsidRPr="00424FB7">
            <w:rPr>
              <w:rFonts w:ascii="Arial" w:hAnsi="Arial" w:cs="Arial"/>
              <w:b/>
              <w:bCs/>
              <w:sz w:val="24"/>
              <w:szCs w:val="24"/>
            </w:rPr>
            <w:t>SCRO Research Using Human Stem Cells Policy</w:t>
          </w:r>
          <w:r w:rsidRPr="00424FB7">
            <w:rPr>
              <w:rFonts w:ascii="Arial" w:hAnsi="Arial" w:cs="Arial"/>
              <w:b/>
              <w:bCs/>
              <w:sz w:val="24"/>
              <w:szCs w:val="24"/>
            </w:rPr>
            <w:fldChar w:fldCharType="end"/>
          </w:r>
        </w:p>
      </w:tc>
    </w:tr>
    <w:tr w14:paraId="3DD1A97C" w14:textId="77777777" w:rsidTr="00DD5721">
      <w:tblPrEx>
        <w:tblW w:w="0" w:type="auto"/>
        <w:tblLook w:val="04A0"/>
      </w:tblPrEx>
      <w:tc>
        <w:tcPr>
          <w:tcW w:w="11016" w:type="dxa"/>
          <w:gridSpan w:val="5"/>
          <w:vAlign w:val="center"/>
        </w:tcPr>
        <w:p w:rsidR="00CE7D2D" w:rsidRPr="00424FB7" w:rsidP="006A5104" w14:paraId="3DD1A97B" w14:textId="77777777">
          <w:pPr>
            <w:rPr>
              <w:rFonts w:ascii="Arial" w:hAnsi="Arial" w:cs="Arial"/>
              <w:bCs/>
              <w:sz w:val="24"/>
              <w:szCs w:val="24"/>
            </w:rPr>
          </w:pPr>
          <w:r w:rsidRPr="00424FB7">
            <w:rPr>
              <w:rFonts w:ascii="Arial" w:hAnsi="Arial" w:cs="Arial"/>
              <w:b/>
              <w:sz w:val="24"/>
              <w:szCs w:val="24"/>
            </w:rPr>
            <w:t xml:space="preserve">Responsible Department:  </w:t>
          </w:r>
          <w:r>
            <w:rPr>
              <w:rFonts w:ascii="Arial" w:hAnsi="Arial" w:cs="Arial"/>
              <w:b/>
              <w:sz w:val="24"/>
              <w:szCs w:val="24"/>
            </w:rPr>
            <w:t>Stem Cell Research Oversight Committee</w:t>
          </w:r>
        </w:p>
      </w:tc>
    </w:tr>
    <w:tr w14:paraId="3DD1A983" w14:textId="77777777" w:rsidTr="00DD5721">
      <w:tblPrEx>
        <w:tblW w:w="0" w:type="auto"/>
        <w:tblLook w:val="04A0"/>
      </w:tblPrEx>
      <w:tc>
        <w:tcPr>
          <w:tcW w:w="2754" w:type="dxa"/>
          <w:vAlign w:val="center"/>
        </w:tcPr>
        <w:p w:rsidR="00CE7D2D" w:rsidRPr="00424FB7" w:rsidP="00CE7D2D" w14:paraId="3DD1A97D" w14:textId="77777777">
          <w:pPr>
            <w:jc w:val="center"/>
            <w:rPr>
              <w:rFonts w:ascii="Arial" w:hAnsi="Arial" w:cs="Arial"/>
              <w:b/>
              <w:sz w:val="24"/>
              <w:szCs w:val="24"/>
            </w:rPr>
          </w:pPr>
          <w:r w:rsidRPr="00424FB7">
            <w:rPr>
              <w:rFonts w:ascii="Arial" w:hAnsi="Arial" w:cs="Arial"/>
              <w:b/>
              <w:sz w:val="24"/>
              <w:szCs w:val="24"/>
            </w:rPr>
            <w:t>Date Originated</w:t>
          </w:r>
          <w:r w:rsidRPr="00424FB7">
            <w:rPr>
              <w:rFonts w:ascii="Arial" w:hAnsi="Arial" w:cs="Arial"/>
              <w:b/>
              <w:sz w:val="24"/>
              <w:szCs w:val="24"/>
            </w:rPr>
            <w:br/>
          </w:r>
          <w:r w:rsidRPr="00424FB7">
            <w:rPr>
              <w:rFonts w:ascii="Arial" w:hAnsi="Arial" w:cs="Arial"/>
              <w:sz w:val="24"/>
              <w:szCs w:val="24"/>
            </w:rPr>
            <w:fldChar w:fldCharType="begin"/>
          </w:r>
          <w:r w:rsidRPr="00424FB7">
            <w:rPr>
              <w:rFonts w:ascii="Arial" w:hAnsi="Arial" w:cs="Arial"/>
              <w:sz w:val="24"/>
              <w:szCs w:val="24"/>
            </w:rPr>
            <w:instrText xml:space="preserve"> DOCVARIABLE "Original Creation Date" \* MERGEFORMAT </w:instrText>
          </w:r>
          <w:r w:rsidRPr="00424FB7">
            <w:rPr>
              <w:rFonts w:ascii="Arial" w:hAnsi="Arial" w:cs="Arial"/>
              <w:sz w:val="24"/>
              <w:szCs w:val="24"/>
            </w:rPr>
            <w:fldChar w:fldCharType="separate"/>
          </w:r>
          <w:r w:rsidRPr="00424FB7">
            <w:rPr>
              <w:rFonts w:ascii="Arial" w:hAnsi="Arial" w:cs="Arial"/>
              <w:sz w:val="24"/>
              <w:szCs w:val="24"/>
            </w:rPr>
            <w:t>Not Set</w:t>
          </w:r>
          <w:r w:rsidRPr="00424FB7">
            <w:rPr>
              <w:rFonts w:ascii="Arial" w:hAnsi="Arial" w:cs="Arial"/>
              <w:sz w:val="24"/>
              <w:szCs w:val="24"/>
            </w:rPr>
            <w:fldChar w:fldCharType="end"/>
          </w:r>
        </w:p>
      </w:tc>
      <w:tc>
        <w:tcPr>
          <w:tcW w:w="2754" w:type="dxa"/>
          <w:gridSpan w:val="2"/>
          <w:vAlign w:val="center"/>
        </w:tcPr>
        <w:p w:rsidR="00CE7D2D" w:rsidRPr="00424FB7" w:rsidP="00CE7D2D" w14:paraId="3DD1A97E" w14:textId="77777777">
          <w:pPr>
            <w:jc w:val="center"/>
            <w:rPr>
              <w:rFonts w:ascii="Arial" w:hAnsi="Arial" w:cs="Arial"/>
              <w:b/>
              <w:sz w:val="24"/>
              <w:szCs w:val="24"/>
            </w:rPr>
          </w:pPr>
          <w:r w:rsidRPr="00424FB7">
            <w:rPr>
              <w:rFonts w:ascii="Arial" w:hAnsi="Arial" w:cs="Arial"/>
              <w:b/>
              <w:sz w:val="24"/>
              <w:szCs w:val="24"/>
            </w:rPr>
            <w:t>Last Reviewed</w:t>
          </w:r>
        </w:p>
        <w:p w:rsidR="00CE7D2D" w:rsidRPr="00424FB7" w:rsidP="00CE7D2D" w14:paraId="3DD1A97F" w14:textId="17A89887">
          <w:pPr>
            <w:jc w:val="center"/>
            <w:rPr>
              <w:rFonts w:ascii="Arial" w:hAnsi="Arial" w:cs="Arial"/>
              <w:bCs/>
              <w:sz w:val="24"/>
              <w:szCs w:val="24"/>
            </w:rPr>
          </w:pPr>
          <w:r>
            <w:rPr>
              <w:rFonts w:ascii="Arial" w:hAnsi="Arial" w:cs="Arial"/>
              <w:bCs/>
              <w:sz w:val="24"/>
              <w:szCs w:val="24"/>
            </w:rPr>
            <w:t>2/16/2023</w:t>
          </w:r>
        </w:p>
      </w:tc>
      <w:tc>
        <w:tcPr>
          <w:tcW w:w="2754" w:type="dxa"/>
          <w:vAlign w:val="center"/>
        </w:tcPr>
        <w:p w:rsidR="00CE7D2D" w:rsidRPr="00424FB7" w:rsidP="00CE7D2D" w14:paraId="3DD1A980" w14:textId="12A38A74">
          <w:pPr>
            <w:jc w:val="center"/>
            <w:rPr>
              <w:rFonts w:ascii="Arial" w:hAnsi="Arial" w:cs="Arial"/>
              <w:b/>
              <w:sz w:val="24"/>
              <w:szCs w:val="24"/>
            </w:rPr>
          </w:pPr>
          <w:r w:rsidRPr="00424FB7">
            <w:rPr>
              <w:rFonts w:ascii="Arial" w:hAnsi="Arial" w:cs="Arial"/>
              <w:b/>
              <w:sz w:val="24"/>
              <w:szCs w:val="24"/>
            </w:rPr>
            <w:t>Last Revised</w:t>
          </w:r>
          <w:r w:rsidRPr="00424FB7">
            <w:rPr>
              <w:rFonts w:ascii="Arial" w:hAnsi="Arial" w:cs="Arial"/>
              <w:b/>
              <w:sz w:val="24"/>
              <w:szCs w:val="24"/>
            </w:rPr>
            <w:br/>
          </w:r>
          <w:r w:rsidR="00FC4970">
            <w:rPr>
              <w:rFonts w:ascii="Arial" w:hAnsi="Arial" w:cs="Arial"/>
              <w:sz w:val="24"/>
              <w:szCs w:val="24"/>
            </w:rPr>
            <w:t>2/16/202</w:t>
          </w:r>
          <w:r>
            <w:rPr>
              <w:rFonts w:ascii="Arial" w:hAnsi="Arial" w:cs="Arial"/>
              <w:sz w:val="24"/>
              <w:szCs w:val="24"/>
            </w:rPr>
            <w:t>3</w:t>
          </w:r>
          <w:r w:rsidRPr="00424FB7">
            <w:rPr>
              <w:rFonts w:ascii="Arial" w:hAnsi="Arial" w:cs="Arial"/>
              <w:b/>
              <w:sz w:val="24"/>
              <w:szCs w:val="24"/>
            </w:rPr>
            <w:t xml:space="preserve"> </w:t>
          </w:r>
        </w:p>
      </w:tc>
      <w:tc>
        <w:tcPr>
          <w:tcW w:w="2754" w:type="dxa"/>
          <w:vAlign w:val="center"/>
        </w:tcPr>
        <w:p w:rsidR="00CE7D2D" w:rsidRPr="00424FB7" w:rsidP="00CE7D2D" w14:paraId="3DD1A981" w14:textId="77777777">
          <w:pPr>
            <w:jc w:val="center"/>
            <w:rPr>
              <w:rFonts w:ascii="Arial" w:hAnsi="Arial" w:cs="Arial"/>
              <w:b/>
              <w:sz w:val="24"/>
              <w:szCs w:val="24"/>
            </w:rPr>
          </w:pPr>
          <w:r w:rsidRPr="00424FB7">
            <w:rPr>
              <w:rFonts w:ascii="Arial" w:hAnsi="Arial" w:cs="Arial"/>
              <w:b/>
              <w:sz w:val="24"/>
              <w:szCs w:val="24"/>
            </w:rPr>
            <w:t>Effective Dat</w:t>
          </w:r>
          <w:r>
            <w:rPr>
              <w:rFonts w:ascii="Arial" w:hAnsi="Arial" w:cs="Arial"/>
              <w:b/>
              <w:sz w:val="24"/>
              <w:szCs w:val="24"/>
            </w:rPr>
            <w:t>e *</w:t>
          </w:r>
        </w:p>
        <w:p w:rsidR="00CE7D2D" w:rsidRPr="00424FB7" w:rsidP="00CE7D2D" w14:paraId="3DD1A982" w14:textId="77777777">
          <w:pPr>
            <w:jc w:val="center"/>
            <w:rPr>
              <w:rFonts w:ascii="Arial" w:hAnsi="Arial" w:cs="Arial"/>
              <w:bCs/>
              <w:sz w:val="24"/>
              <w:szCs w:val="24"/>
            </w:rPr>
          </w:pPr>
          <w:r>
            <w:rPr>
              <w:rFonts w:ascii="Arial" w:hAnsi="Arial" w:cs="Arial"/>
              <w:bCs/>
              <w:sz w:val="24"/>
              <w:szCs w:val="24"/>
            </w:rPr>
            <w:t>06/06/2017</w:t>
          </w:r>
        </w:p>
      </w:tc>
    </w:tr>
  </w:tbl>
  <w:p w:rsidR="004B1980" w:rsidRPr="00AC56B2" w:rsidP="004B1980" w14:paraId="3DD1A984" w14:textId="77777777">
    <w:pPr>
      <w:rPr>
        <w:rFonts w:ascii="Arial" w:hAnsi="Arial" w:cs="Arial"/>
        <w:bCs/>
      </w:rPr>
    </w:pPr>
  </w:p>
  <w:p w:rsidR="00FA481C" w:rsidRPr="00AC56B2" w:rsidP="008A4C1F" w14:paraId="3DD1A985" w14:textId="77777777">
    <w:pPr>
      <w:pStyle w:val="Header"/>
      <w:jc w:val="center"/>
      <w:rPr>
        <w:rFonts w:ascii="Arial" w:hAnsi="Arial" w:cs="Arial"/>
        <w:sz w:val="24"/>
        <w:szCs w:val="24"/>
      </w:rPr>
    </w:pPr>
    <w:r w:rsidRPr="00AC56B2">
      <w:rPr>
        <w:rFonts w:ascii="Arial" w:hAnsi="Arial" w:cs="Arial"/>
        <w:bCs/>
        <w:sz w:val="24"/>
        <w:szCs w:val="24"/>
      </w:rPr>
      <w:t xml:space="preserve">Printed copies are for reference only.  Please refer to the electronic copy for the </w:t>
    </w:r>
    <w:r w:rsidRPr="00AC56B2" w:rsidR="00FC0BBA">
      <w:rPr>
        <w:rFonts w:ascii="Arial" w:hAnsi="Arial" w:cs="Arial"/>
        <w:bCs/>
        <w:sz w:val="24"/>
        <w:szCs w:val="24"/>
      </w:rPr>
      <w:t>official</w:t>
    </w:r>
    <w:r w:rsidRPr="00AC56B2">
      <w:rPr>
        <w:rFonts w:ascii="Arial" w:hAnsi="Arial" w:cs="Arial"/>
        <w:bCs/>
        <w:sz w:val="24"/>
        <w:szCs w:val="24"/>
      </w:rPr>
      <w:t xml:space="preserve">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A28BF"/>
    <w:multiLevelType w:val="multilevel"/>
    <w:tmpl w:val="E5A8DE3C"/>
    <w:lvl w:ilvl="0">
      <w:start w:val="2"/>
      <w:numFmt w:val="upperRoman"/>
      <w:lvlText w:val="%1."/>
      <w:lvlJc w:val="left"/>
      <w:pPr>
        <w:ind w:left="0" w:firstLine="0"/>
      </w:pPr>
      <w:rPr>
        <w:rFonts w:ascii="Arial" w:hAnsi="Arial" w:hint="default"/>
        <w:sz w:val="24"/>
        <w:szCs w:val="24"/>
      </w:rPr>
    </w:lvl>
    <w:lvl w:ilvl="1">
      <w:start w:val="1"/>
      <w:numFmt w:val="upperLetter"/>
      <w:lvlText w:val="%2."/>
      <w:lvlJc w:val="left"/>
      <w:pPr>
        <w:ind w:left="900" w:firstLine="0"/>
      </w:pPr>
      <w:rPr>
        <w:rFonts w:hint="default"/>
        <w:b/>
      </w:rPr>
    </w:lvl>
    <w:lvl w:ilvl="2">
      <w:start w:val="1"/>
      <w:numFmt w:val="decimal"/>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b w:val="0"/>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10444347"/>
    <w:multiLevelType w:val="hybridMultilevel"/>
    <w:tmpl w:val="65689EEC"/>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3C17653"/>
    <w:multiLevelType w:val="multilevel"/>
    <w:tmpl w:val="B3FEC16E"/>
    <w:styleLink w:val="Style1"/>
    <w:lvl w:ilvl="0">
      <w:start w:val="1"/>
      <w:numFmt w:val="upperRoman"/>
      <w:lvlText w:val="%1."/>
      <w:lvlJc w:val="left"/>
      <w:pPr>
        <w:ind w:left="0" w:firstLine="0"/>
      </w:pPr>
      <w:rPr>
        <w:rFonts w:ascii="Arial" w:hAnsi="Arial"/>
        <w:sz w:val="24"/>
        <w:szCs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2F29783B"/>
    <w:multiLevelType w:val="multilevel"/>
    <w:tmpl w:val="EB72097E"/>
    <w:lvl w:ilvl="0">
      <w:start w:val="10"/>
      <w:numFmt w:val="upperRoman"/>
      <w:lvlText w:val="%1."/>
      <w:lvlJc w:val="left"/>
      <w:pPr>
        <w:ind w:left="0" w:firstLine="0"/>
      </w:pPr>
      <w:rPr>
        <w:rFonts w:ascii="Arial" w:hAnsi="Arial" w:hint="default"/>
        <w:sz w:val="24"/>
        <w:szCs w:val="24"/>
      </w:rPr>
    </w:lvl>
    <w:lvl w:ilvl="1">
      <w:start w:val="1"/>
      <w:numFmt w:val="decimal"/>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nsid w:val="5C2C58CE"/>
    <w:multiLevelType w:val="hybridMultilevel"/>
    <w:tmpl w:val="76E251EC"/>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0C001EC"/>
    <w:multiLevelType w:val="hybridMultilevel"/>
    <w:tmpl w:val="37EE2276"/>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0EB34D7"/>
    <w:multiLevelType w:val="multilevel"/>
    <w:tmpl w:val="B3FEC16E"/>
    <w:numStyleLink w:val="Style1"/>
  </w:abstractNum>
  <w:abstractNum w:abstractNumId="7">
    <w:nsid w:val="7195399A"/>
    <w:multiLevelType w:val="multilevel"/>
    <w:tmpl w:val="ED9E4AA0"/>
    <w:lvl w:ilvl="0">
      <w:start w:val="8"/>
      <w:numFmt w:val="upperRoman"/>
      <w:lvlText w:val="%1."/>
      <w:lvlJc w:val="left"/>
      <w:pPr>
        <w:ind w:left="0" w:firstLine="0"/>
      </w:pPr>
      <w:rPr>
        <w:rFonts w:ascii="Arial" w:hAnsi="Arial" w:hint="default"/>
        <w:b/>
        <w:sz w:val="24"/>
        <w:szCs w:val="24"/>
      </w:rPr>
    </w:lvl>
    <w:lvl w:ilvl="1">
      <w:start w:val="4"/>
      <w:numFmt w:val="upperLetter"/>
      <w:lvlText w:val="%2."/>
      <w:lvlJc w:val="left"/>
      <w:pPr>
        <w:ind w:left="900" w:firstLine="0"/>
      </w:pPr>
      <w:rPr>
        <w:rFonts w:hint="default"/>
        <w:b/>
      </w:rPr>
    </w:lvl>
    <w:lvl w:ilvl="2">
      <w:start w:val="1"/>
      <w:numFmt w:val="decimal"/>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b w:val="0"/>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8">
    <w:nsid w:val="71CE2EC3"/>
    <w:multiLevelType w:val="multilevel"/>
    <w:tmpl w:val="1F847DEA"/>
    <w:lvl w:ilvl="0">
      <w:start w:val="9"/>
      <w:numFmt w:val="upperRoman"/>
      <w:lvlText w:val="%1."/>
      <w:lvlJc w:val="left"/>
      <w:pPr>
        <w:ind w:left="0" w:firstLine="0"/>
      </w:pPr>
      <w:rPr>
        <w:rFonts w:ascii="Arial" w:hAnsi="Arial" w:hint="default"/>
        <w:sz w:val="24"/>
        <w:szCs w:val="24"/>
      </w:rPr>
    </w:lvl>
    <w:lvl w:ilvl="1">
      <w:start w:val="1"/>
      <w:numFmt w:val="decimal"/>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nsid w:val="739038ED"/>
    <w:multiLevelType w:val="hybridMultilevel"/>
    <w:tmpl w:val="92BA8FEE"/>
    <w:lvl w:ilvl="0">
      <w:start w:val="93"/>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BFD6BFF"/>
    <w:multiLevelType w:val="hybridMultilevel"/>
    <w:tmpl w:val="11FC4D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096974818">
    <w:abstractNumId w:val="5"/>
  </w:num>
  <w:num w:numId="2" w16cid:durableId="1497112819">
    <w:abstractNumId w:val="4"/>
  </w:num>
  <w:num w:numId="3" w16cid:durableId="941184259">
    <w:abstractNumId w:val="9"/>
  </w:num>
  <w:num w:numId="4" w16cid:durableId="1603803688">
    <w:abstractNumId w:val="2"/>
  </w:num>
  <w:num w:numId="5" w16cid:durableId="426658574">
    <w:abstractNumId w:val="6"/>
    <w:lvlOverride w:ilvl="0">
      <w:lvl w:ilvl="0">
        <w:start w:val="1"/>
        <w:numFmt w:val="upperRoman"/>
        <w:lvlText w:val="%1."/>
        <w:lvlJc w:val="left"/>
        <w:pPr>
          <w:ind w:left="0" w:firstLine="0"/>
        </w:pPr>
        <w:rPr>
          <w:rFonts w:ascii="Arial" w:hAnsi="Arial"/>
          <w:b/>
          <w:sz w:val="24"/>
          <w:szCs w:val="24"/>
        </w:rPr>
      </w:lvl>
    </w:lvlOverride>
    <w:lvlOverride w:ilvl="1">
      <w:lvl w:ilvl="1">
        <w:start w:val="1"/>
        <w:numFmt w:val="upperLetter"/>
        <w:lvlText w:val="%2."/>
        <w:lvlJc w:val="left"/>
        <w:pPr>
          <w:ind w:left="720" w:firstLine="0"/>
        </w:pPr>
        <w:rPr>
          <w:rFonts w:ascii="Arial" w:hAnsi="Arial" w:cs="Arial" w:hint="default"/>
          <w:b/>
        </w:rPr>
      </w:lvl>
    </w:lvlOverride>
    <w:lvlOverride w:ilvl="2">
      <w:lvl w:ilvl="2">
        <w:start w:val="1"/>
        <w:numFmt w:val="decimal"/>
        <w:lvlText w:val="%3."/>
        <w:lvlJc w:val="left"/>
        <w:pPr>
          <w:ind w:left="1440" w:firstLine="0"/>
        </w:pPr>
        <w:rPr>
          <w:b w:val="0"/>
        </w:rPr>
      </w:lvl>
    </w:lvlOverride>
    <w:lvlOverride w:ilvl="3">
      <w:lvl w:ilvl="3">
        <w:start w:val="1"/>
        <w:numFmt w:val="lowerLetter"/>
        <w:lvlText w:val="%4)"/>
        <w:lvlJc w:val="left"/>
        <w:pPr>
          <w:ind w:left="2160" w:firstLine="0"/>
        </w:pPr>
        <w:rPr>
          <w:b w:val="0"/>
        </w:rPr>
      </w:lvl>
    </w:lvlOverride>
    <w:lvlOverride w:ilvl="4">
      <w:lvl w:ilvl="4">
        <w:start w:val="1"/>
        <w:numFmt w:val="decimal"/>
        <w:lvlText w:val="(%5)"/>
        <w:lvlJc w:val="left"/>
        <w:pPr>
          <w:ind w:left="2880" w:firstLine="0"/>
        </w:pPr>
        <w:rPr>
          <w:b w:val="0"/>
        </w:rPr>
      </w:lvl>
    </w:lvlOverride>
  </w:num>
  <w:num w:numId="6" w16cid:durableId="388386560">
    <w:abstractNumId w:val="0"/>
  </w:num>
  <w:num w:numId="7" w16cid:durableId="112023387">
    <w:abstractNumId w:val="7"/>
  </w:num>
  <w:num w:numId="8" w16cid:durableId="37094588">
    <w:abstractNumId w:val="3"/>
  </w:num>
  <w:num w:numId="9" w16cid:durableId="1502701043">
    <w:abstractNumId w:val="8"/>
  </w:num>
  <w:num w:numId="10" w16cid:durableId="522204178">
    <w:abstractNumId w:val="10"/>
  </w:num>
  <w:num w:numId="11" w16cid:durableId="18378440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24"/>
  <w:drawingGridVerticalSpacing w:val="65"/>
  <w:displayHorizontalDrawingGridEvery w:val="0"/>
  <w:displayVerticalDrawingGridEvery w:val="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4FA"/>
    <w:rsid w:val="00020D57"/>
    <w:rsid w:val="000250B9"/>
    <w:rsid w:val="00032BDF"/>
    <w:rsid w:val="000367C8"/>
    <w:rsid w:val="00042C9B"/>
    <w:rsid w:val="00054300"/>
    <w:rsid w:val="000564B1"/>
    <w:rsid w:val="000643CB"/>
    <w:rsid w:val="000875D8"/>
    <w:rsid w:val="000A01A6"/>
    <w:rsid w:val="000B02D7"/>
    <w:rsid w:val="000B5739"/>
    <w:rsid w:val="000B65A4"/>
    <w:rsid w:val="000B71EE"/>
    <w:rsid w:val="000B7B4A"/>
    <w:rsid w:val="000C3234"/>
    <w:rsid w:val="000D326E"/>
    <w:rsid w:val="000D398F"/>
    <w:rsid w:val="000E13B6"/>
    <w:rsid w:val="000E4E32"/>
    <w:rsid w:val="000F2B58"/>
    <w:rsid w:val="001075B8"/>
    <w:rsid w:val="00110312"/>
    <w:rsid w:val="00110A9D"/>
    <w:rsid w:val="001115BC"/>
    <w:rsid w:val="00120303"/>
    <w:rsid w:val="00130A9E"/>
    <w:rsid w:val="00134757"/>
    <w:rsid w:val="001407E8"/>
    <w:rsid w:val="001408C0"/>
    <w:rsid w:val="001414E0"/>
    <w:rsid w:val="0015372D"/>
    <w:rsid w:val="00154A0F"/>
    <w:rsid w:val="001645DB"/>
    <w:rsid w:val="0016667F"/>
    <w:rsid w:val="001712FF"/>
    <w:rsid w:val="00172CFE"/>
    <w:rsid w:val="00175104"/>
    <w:rsid w:val="0017529B"/>
    <w:rsid w:val="00182176"/>
    <w:rsid w:val="001B3AC4"/>
    <w:rsid w:val="001B42E6"/>
    <w:rsid w:val="001B4CC6"/>
    <w:rsid w:val="001B6CA2"/>
    <w:rsid w:val="001E512C"/>
    <w:rsid w:val="001E6B0A"/>
    <w:rsid w:val="001F05BE"/>
    <w:rsid w:val="001F66E5"/>
    <w:rsid w:val="001F7E2E"/>
    <w:rsid w:val="00216EB6"/>
    <w:rsid w:val="002220BE"/>
    <w:rsid w:val="00233277"/>
    <w:rsid w:val="002346B4"/>
    <w:rsid w:val="002564DC"/>
    <w:rsid w:val="0026002A"/>
    <w:rsid w:val="00262C69"/>
    <w:rsid w:val="00262E8A"/>
    <w:rsid w:val="00271BED"/>
    <w:rsid w:val="002749D7"/>
    <w:rsid w:val="002864C7"/>
    <w:rsid w:val="00292789"/>
    <w:rsid w:val="002944DD"/>
    <w:rsid w:val="002A519B"/>
    <w:rsid w:val="002A5559"/>
    <w:rsid w:val="002B050A"/>
    <w:rsid w:val="002B6091"/>
    <w:rsid w:val="002C4C21"/>
    <w:rsid w:val="002F3D19"/>
    <w:rsid w:val="00302342"/>
    <w:rsid w:val="003252A6"/>
    <w:rsid w:val="0032575E"/>
    <w:rsid w:val="00337BDE"/>
    <w:rsid w:val="003459C9"/>
    <w:rsid w:val="00351366"/>
    <w:rsid w:val="0035709C"/>
    <w:rsid w:val="003A0292"/>
    <w:rsid w:val="003A1582"/>
    <w:rsid w:val="003D0C32"/>
    <w:rsid w:val="003E3A6D"/>
    <w:rsid w:val="003E5143"/>
    <w:rsid w:val="003E57FA"/>
    <w:rsid w:val="003F2549"/>
    <w:rsid w:val="003F6CC6"/>
    <w:rsid w:val="00403B72"/>
    <w:rsid w:val="00424FB7"/>
    <w:rsid w:val="004310EC"/>
    <w:rsid w:val="00450534"/>
    <w:rsid w:val="00464483"/>
    <w:rsid w:val="00466F61"/>
    <w:rsid w:val="004760CD"/>
    <w:rsid w:val="004833B9"/>
    <w:rsid w:val="004927F8"/>
    <w:rsid w:val="00497DF5"/>
    <w:rsid w:val="004A3FFF"/>
    <w:rsid w:val="004A6882"/>
    <w:rsid w:val="004B0016"/>
    <w:rsid w:val="004B1980"/>
    <w:rsid w:val="004B6899"/>
    <w:rsid w:val="004C3422"/>
    <w:rsid w:val="004E432B"/>
    <w:rsid w:val="004E76E7"/>
    <w:rsid w:val="004F08D8"/>
    <w:rsid w:val="004F32D9"/>
    <w:rsid w:val="004F384E"/>
    <w:rsid w:val="00507668"/>
    <w:rsid w:val="005100F3"/>
    <w:rsid w:val="00511458"/>
    <w:rsid w:val="00517379"/>
    <w:rsid w:val="0053656D"/>
    <w:rsid w:val="0054521F"/>
    <w:rsid w:val="00553B05"/>
    <w:rsid w:val="005613D5"/>
    <w:rsid w:val="00570636"/>
    <w:rsid w:val="005C7404"/>
    <w:rsid w:val="005D1D3F"/>
    <w:rsid w:val="005D2796"/>
    <w:rsid w:val="005E1ADA"/>
    <w:rsid w:val="005E4D44"/>
    <w:rsid w:val="005F432D"/>
    <w:rsid w:val="005F5EA7"/>
    <w:rsid w:val="00602E75"/>
    <w:rsid w:val="006129C2"/>
    <w:rsid w:val="00612F0D"/>
    <w:rsid w:val="00624857"/>
    <w:rsid w:val="0063395D"/>
    <w:rsid w:val="00637290"/>
    <w:rsid w:val="00657E23"/>
    <w:rsid w:val="006701A7"/>
    <w:rsid w:val="00671BBA"/>
    <w:rsid w:val="006754EE"/>
    <w:rsid w:val="00676730"/>
    <w:rsid w:val="006854C2"/>
    <w:rsid w:val="00685DD8"/>
    <w:rsid w:val="00691CBB"/>
    <w:rsid w:val="0069207C"/>
    <w:rsid w:val="006A216D"/>
    <w:rsid w:val="006A4B2A"/>
    <w:rsid w:val="006A5104"/>
    <w:rsid w:val="006E51D7"/>
    <w:rsid w:val="0071038A"/>
    <w:rsid w:val="00716CF1"/>
    <w:rsid w:val="007271DE"/>
    <w:rsid w:val="00735B1A"/>
    <w:rsid w:val="007478A3"/>
    <w:rsid w:val="0075239C"/>
    <w:rsid w:val="00753EA6"/>
    <w:rsid w:val="007559B3"/>
    <w:rsid w:val="00757CAD"/>
    <w:rsid w:val="00761C86"/>
    <w:rsid w:val="00762073"/>
    <w:rsid w:val="0076211D"/>
    <w:rsid w:val="0077473E"/>
    <w:rsid w:val="00780267"/>
    <w:rsid w:val="00792702"/>
    <w:rsid w:val="007957DF"/>
    <w:rsid w:val="007A1079"/>
    <w:rsid w:val="007A155A"/>
    <w:rsid w:val="007E72F7"/>
    <w:rsid w:val="00801EEE"/>
    <w:rsid w:val="00813283"/>
    <w:rsid w:val="0082057B"/>
    <w:rsid w:val="00821996"/>
    <w:rsid w:val="008244EA"/>
    <w:rsid w:val="008267FF"/>
    <w:rsid w:val="00846556"/>
    <w:rsid w:val="00856CFF"/>
    <w:rsid w:val="00857B73"/>
    <w:rsid w:val="00864F0B"/>
    <w:rsid w:val="00866988"/>
    <w:rsid w:val="00867879"/>
    <w:rsid w:val="00867C4F"/>
    <w:rsid w:val="0087232F"/>
    <w:rsid w:val="0089085A"/>
    <w:rsid w:val="008A4C1F"/>
    <w:rsid w:val="008B3256"/>
    <w:rsid w:val="008B4382"/>
    <w:rsid w:val="008C46EA"/>
    <w:rsid w:val="008D0B50"/>
    <w:rsid w:val="008D2EC9"/>
    <w:rsid w:val="008D45D5"/>
    <w:rsid w:val="008D708D"/>
    <w:rsid w:val="008F1266"/>
    <w:rsid w:val="008F55E5"/>
    <w:rsid w:val="008F7E33"/>
    <w:rsid w:val="009054A5"/>
    <w:rsid w:val="00915DE7"/>
    <w:rsid w:val="009244FA"/>
    <w:rsid w:val="00925040"/>
    <w:rsid w:val="00932331"/>
    <w:rsid w:val="00932C75"/>
    <w:rsid w:val="0095497E"/>
    <w:rsid w:val="00962EA4"/>
    <w:rsid w:val="0097243D"/>
    <w:rsid w:val="009829CB"/>
    <w:rsid w:val="009837C1"/>
    <w:rsid w:val="00987280"/>
    <w:rsid w:val="00996587"/>
    <w:rsid w:val="009A0DAA"/>
    <w:rsid w:val="009D3C41"/>
    <w:rsid w:val="009F0715"/>
    <w:rsid w:val="00A0456F"/>
    <w:rsid w:val="00A1484A"/>
    <w:rsid w:val="00A16229"/>
    <w:rsid w:val="00A317FC"/>
    <w:rsid w:val="00A57359"/>
    <w:rsid w:val="00A6091E"/>
    <w:rsid w:val="00A705EA"/>
    <w:rsid w:val="00A743FB"/>
    <w:rsid w:val="00A8015A"/>
    <w:rsid w:val="00A818CE"/>
    <w:rsid w:val="00A83B42"/>
    <w:rsid w:val="00A86892"/>
    <w:rsid w:val="00AC35C7"/>
    <w:rsid w:val="00AC56B2"/>
    <w:rsid w:val="00AC782A"/>
    <w:rsid w:val="00AD0943"/>
    <w:rsid w:val="00AE49FF"/>
    <w:rsid w:val="00AF3901"/>
    <w:rsid w:val="00AF4FE4"/>
    <w:rsid w:val="00AF536A"/>
    <w:rsid w:val="00AF58DB"/>
    <w:rsid w:val="00AF7BA9"/>
    <w:rsid w:val="00B0532E"/>
    <w:rsid w:val="00B1018D"/>
    <w:rsid w:val="00B14AA4"/>
    <w:rsid w:val="00B31BB2"/>
    <w:rsid w:val="00B357C6"/>
    <w:rsid w:val="00B47038"/>
    <w:rsid w:val="00B500E0"/>
    <w:rsid w:val="00B631B4"/>
    <w:rsid w:val="00B67B14"/>
    <w:rsid w:val="00B70720"/>
    <w:rsid w:val="00B716F6"/>
    <w:rsid w:val="00B72248"/>
    <w:rsid w:val="00B7649C"/>
    <w:rsid w:val="00B80220"/>
    <w:rsid w:val="00B868C7"/>
    <w:rsid w:val="00BA1D17"/>
    <w:rsid w:val="00BC6467"/>
    <w:rsid w:val="00BC71DB"/>
    <w:rsid w:val="00BD3C10"/>
    <w:rsid w:val="00BE46D9"/>
    <w:rsid w:val="00C20650"/>
    <w:rsid w:val="00C24CDB"/>
    <w:rsid w:val="00C26E1E"/>
    <w:rsid w:val="00C30C33"/>
    <w:rsid w:val="00C43B19"/>
    <w:rsid w:val="00C50210"/>
    <w:rsid w:val="00C562F6"/>
    <w:rsid w:val="00C57548"/>
    <w:rsid w:val="00C62AF9"/>
    <w:rsid w:val="00C746DA"/>
    <w:rsid w:val="00C9390C"/>
    <w:rsid w:val="00C944F1"/>
    <w:rsid w:val="00CA2B5A"/>
    <w:rsid w:val="00CA31B1"/>
    <w:rsid w:val="00CB492B"/>
    <w:rsid w:val="00CC61A3"/>
    <w:rsid w:val="00CD45DC"/>
    <w:rsid w:val="00CE7D2D"/>
    <w:rsid w:val="00D014CE"/>
    <w:rsid w:val="00D0672D"/>
    <w:rsid w:val="00D11FC5"/>
    <w:rsid w:val="00D13302"/>
    <w:rsid w:val="00D154B8"/>
    <w:rsid w:val="00D23CCC"/>
    <w:rsid w:val="00D367A4"/>
    <w:rsid w:val="00D503E9"/>
    <w:rsid w:val="00D7173B"/>
    <w:rsid w:val="00D74E75"/>
    <w:rsid w:val="00D83931"/>
    <w:rsid w:val="00D83D98"/>
    <w:rsid w:val="00D8537B"/>
    <w:rsid w:val="00D86546"/>
    <w:rsid w:val="00D92E14"/>
    <w:rsid w:val="00D95394"/>
    <w:rsid w:val="00DA153C"/>
    <w:rsid w:val="00DA47E6"/>
    <w:rsid w:val="00DB0EAE"/>
    <w:rsid w:val="00DF5DC5"/>
    <w:rsid w:val="00E14827"/>
    <w:rsid w:val="00E216AC"/>
    <w:rsid w:val="00E4505A"/>
    <w:rsid w:val="00E56CED"/>
    <w:rsid w:val="00E64F44"/>
    <w:rsid w:val="00E76BF2"/>
    <w:rsid w:val="00E81F40"/>
    <w:rsid w:val="00E84489"/>
    <w:rsid w:val="00EF3580"/>
    <w:rsid w:val="00EF4D6D"/>
    <w:rsid w:val="00EF73F1"/>
    <w:rsid w:val="00F034A7"/>
    <w:rsid w:val="00F133D8"/>
    <w:rsid w:val="00F176FD"/>
    <w:rsid w:val="00F2479C"/>
    <w:rsid w:val="00F415D9"/>
    <w:rsid w:val="00F4269B"/>
    <w:rsid w:val="00F44B87"/>
    <w:rsid w:val="00F51EAC"/>
    <w:rsid w:val="00F70564"/>
    <w:rsid w:val="00F76BF3"/>
    <w:rsid w:val="00FA481C"/>
    <w:rsid w:val="00FB2233"/>
    <w:rsid w:val="00FC018A"/>
    <w:rsid w:val="00FC0BBA"/>
    <w:rsid w:val="00FC4970"/>
    <w:rsid w:val="00FC4BAF"/>
    <w:rsid w:val="00FD7A04"/>
    <w:rsid w:val="00FF3633"/>
    <w:rsid w:val="00FF69F1"/>
  </w:rsids>
  <w:docVars>
    <w:docVar w:name="Date Approved" w:val="Not Set"/>
    <w:docVar w:name="Document Title" w:val="SCRO Research Using Human Stem Cells Policy"/>
    <w:docVar w:name="Effective Date" w:val="Not Set"/>
    <w:docVar w:name="Last External Review Date" w:val="Not Set"/>
    <w:docVar w:name="Last Periodic Review Date" w:val="Last Periodic Review Date"/>
    <w:docVar w:name="Original Creation Date" w:val="Not Set"/>
    <w:docVar w:name="PO Department" w:val="Research Administration"/>
    <w:docVar w:name="Reference #" w:val="U-SCRO"/>
  </w:docVar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D1A8B0"/>
  <w15:chartTrackingRefBased/>
  <w15:docId w15:val="{594E7E58-F90A-47A1-AE90-23B5AB6B1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5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ind w:left="2880" w:firstLine="720"/>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color w:val="0000FF"/>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rFonts w:ascii="Arial" w:hAnsi="Arial"/>
      <w:outline/>
      <w:color w:val="000000"/>
      <w:sz w:val="48"/>
      <w14:textOutline w14:w="9525">
        <w14:solidFill>
          <w14:srgbClr w14:val="000000"/>
        </w14:solidFill>
        <w14:prstDash w14:val="solid"/>
        <w14:round/>
      </w14:textOutline>
      <w14:textFill>
        <w14:noFill/>
      </w14:textFill>
    </w:rPr>
  </w:style>
  <w:style w:type="paragraph" w:customStyle="1" w:styleId="level11">
    <w:name w:val="_level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customStyle="1" w:styleId="Level1">
    <w:name w:val="Level 1"/>
    <w:basedOn w:val="Normal"/>
    <w:pPr>
      <w:widowControl w:val="0"/>
    </w:pPr>
    <w:rPr>
      <w:sz w:val="24"/>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00"/>
      <w:ind w:left="360" w:right="360"/>
    </w:pPr>
    <w:rPr>
      <w:sz w:val="24"/>
    </w:rPr>
  </w:style>
  <w:style w:type="paragraph" w:customStyle="1" w:styleId="Preformatted">
    <w:name w:val="Preformatted"/>
    <w:basedOn w:val="Normal"/>
    <w:pPr>
      <w:widowControl w:val="0"/>
      <w:tabs>
        <w:tab w:val="left" w:pos="0"/>
        <w:tab w:val="left" w:pos="959"/>
        <w:tab w:val="left" w:pos="1918"/>
        <w:tab w:val="left" w:pos="2875"/>
        <w:tab w:val="left" w:pos="3834"/>
        <w:tab w:val="left" w:pos="4794"/>
        <w:tab w:val="left" w:pos="5754"/>
        <w:tab w:val="left" w:pos="6713"/>
        <w:tab w:val="left" w:pos="7672"/>
        <w:tab w:val="left" w:pos="8629"/>
        <w:tab w:val="left" w:pos="9360"/>
      </w:tabs>
    </w:pPr>
    <w:rPr>
      <w:rFonts w:ascii="Courier New" w:hAnsi="Courier New"/>
    </w:rPr>
  </w:style>
  <w:style w:type="character" w:customStyle="1" w:styleId="WP9Strong">
    <w:name w:val="WP9_Strong"/>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character" w:styleId="CommentReference">
    <w:name w:val="annotation reference"/>
    <w:semiHidden/>
    <w:rsid w:val="009244FA"/>
    <w:rPr>
      <w:sz w:val="16"/>
      <w:szCs w:val="16"/>
    </w:rPr>
  </w:style>
  <w:style w:type="paragraph" w:styleId="CommentText">
    <w:name w:val="annotation text"/>
    <w:basedOn w:val="Normal"/>
    <w:semiHidden/>
    <w:rsid w:val="009244FA"/>
  </w:style>
  <w:style w:type="paragraph" w:styleId="CommentSubject">
    <w:name w:val="annotation subject"/>
    <w:basedOn w:val="CommentText"/>
    <w:next w:val="CommentText"/>
    <w:semiHidden/>
    <w:rsid w:val="009244FA"/>
    <w:rPr>
      <w:b/>
      <w:bCs/>
    </w:rPr>
  </w:style>
  <w:style w:type="paragraph" w:styleId="BalloonText">
    <w:name w:val="Balloon Text"/>
    <w:basedOn w:val="Normal"/>
    <w:semiHidden/>
    <w:rsid w:val="009244FA"/>
    <w:rPr>
      <w:rFonts w:ascii="Tahoma" w:hAnsi="Tahoma" w:cs="Tahoma"/>
      <w:sz w:val="16"/>
      <w:szCs w:val="16"/>
    </w:rPr>
  </w:style>
  <w:style w:type="paragraph" w:customStyle="1" w:styleId="Default">
    <w:name w:val="Default"/>
    <w:rsid w:val="002B6091"/>
    <w:pPr>
      <w:autoSpaceDE w:val="0"/>
      <w:autoSpaceDN w:val="0"/>
      <w:adjustRightInd w:val="0"/>
    </w:pPr>
    <w:rPr>
      <w:rFonts w:eastAsia="Calibri"/>
      <w:color w:val="000000"/>
      <w:sz w:val="24"/>
      <w:szCs w:val="24"/>
    </w:rPr>
  </w:style>
  <w:style w:type="table" w:styleId="TableGrid">
    <w:name w:val="Table Grid"/>
    <w:basedOn w:val="TableNormal"/>
    <w:rsid w:val="004F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0A01A6"/>
    <w:pPr>
      <w:widowControl w:val="0"/>
    </w:pPr>
    <w:rPr>
      <w:rFonts w:ascii="Calibri" w:eastAsia="Calibri" w:hAnsi="Calibri"/>
      <w:sz w:val="22"/>
      <w:szCs w:val="22"/>
    </w:rPr>
  </w:style>
  <w:style w:type="character" w:customStyle="1" w:styleId="HeaderChar">
    <w:name w:val="Header Char"/>
    <w:link w:val="Header"/>
    <w:uiPriority w:val="99"/>
    <w:rsid w:val="009837C1"/>
  </w:style>
  <w:style w:type="character" w:customStyle="1" w:styleId="UnresolvedMention1">
    <w:name w:val="Unresolved Mention1"/>
    <w:basedOn w:val="DefaultParagraphFont"/>
    <w:uiPriority w:val="99"/>
    <w:semiHidden/>
    <w:unhideWhenUsed/>
    <w:rsid w:val="00AD0943"/>
    <w:rPr>
      <w:color w:val="605E5C"/>
      <w:shd w:val="clear" w:color="auto" w:fill="E1DFDD"/>
    </w:rPr>
  </w:style>
  <w:style w:type="character" w:styleId="PageNumber">
    <w:name w:val="page number"/>
    <w:basedOn w:val="DefaultParagraphFont"/>
    <w:rsid w:val="001414E0"/>
  </w:style>
  <w:style w:type="character" w:customStyle="1" w:styleId="FooterChar">
    <w:name w:val="Footer Char"/>
    <w:basedOn w:val="DefaultParagraphFont"/>
    <w:link w:val="Footer"/>
    <w:uiPriority w:val="99"/>
    <w:rsid w:val="001408C0"/>
  </w:style>
  <w:style w:type="paragraph" w:customStyle="1" w:styleId="MediumGrid1-Accent21">
    <w:name w:val="Medium Grid 1 - Accent 21"/>
    <w:basedOn w:val="Normal"/>
    <w:uiPriority w:val="34"/>
    <w:qFormat/>
    <w:rsid w:val="00716CF1"/>
    <w:pPr>
      <w:ind w:left="720"/>
      <w:contextualSpacing/>
    </w:pPr>
    <w:rPr>
      <w:rFonts w:ascii="Arial" w:hAnsi="Arial"/>
      <w:sz w:val="24"/>
      <w:szCs w:val="24"/>
      <w:lang w:bidi="en-US"/>
    </w:rPr>
  </w:style>
  <w:style w:type="numbering" w:customStyle="1" w:styleId="Style1">
    <w:name w:val="Style1"/>
    <w:uiPriority w:val="99"/>
    <w:rsid w:val="00716CF1"/>
    <w:pPr>
      <w:numPr>
        <w:numId w:val="4"/>
      </w:numPr>
    </w:pPr>
  </w:style>
  <w:style w:type="paragraph" w:styleId="FootnoteText">
    <w:name w:val="footnote text"/>
    <w:basedOn w:val="Normal"/>
    <w:link w:val="FootnoteTextChar"/>
    <w:uiPriority w:val="99"/>
    <w:unhideWhenUsed/>
    <w:rsid w:val="00716CF1"/>
    <w:rPr>
      <w:rFonts w:ascii="Arial" w:hAnsi="Arial"/>
      <w:lang w:bidi="en-US"/>
    </w:rPr>
  </w:style>
  <w:style w:type="character" w:customStyle="1" w:styleId="FootnoteTextChar">
    <w:name w:val="Footnote Text Char"/>
    <w:basedOn w:val="DefaultParagraphFont"/>
    <w:link w:val="FootnoteText"/>
    <w:uiPriority w:val="99"/>
    <w:rsid w:val="00716CF1"/>
    <w:rPr>
      <w:rFonts w:ascii="Arial" w:hAnsi="Arial"/>
      <w:lang w:bidi="en-US"/>
    </w:rPr>
  </w:style>
  <w:style w:type="character" w:styleId="FootnoteReference">
    <w:name w:val="footnote reference"/>
    <w:uiPriority w:val="99"/>
    <w:unhideWhenUsed/>
    <w:rsid w:val="00716CF1"/>
    <w:rPr>
      <w:vertAlign w:val="superscript"/>
    </w:rPr>
  </w:style>
  <w:style w:type="character" w:styleId="UnresolvedMention">
    <w:name w:val="Unresolved Mention"/>
    <w:basedOn w:val="DefaultParagraphFont"/>
    <w:uiPriority w:val="99"/>
    <w:semiHidden/>
    <w:unhideWhenUsed/>
    <w:rsid w:val="00FC4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temcells.nih.gov/policy/pages/2009guidelines.aspx" TargetMode="External" /><Relationship Id="rId7" Type="http://schemas.openxmlformats.org/officeDocument/2006/relationships/hyperlink" Target="https://nap.nationalacademies.org/read/12923" TargetMode="External" /><Relationship Id="rId8" Type="http://schemas.openxmlformats.org/officeDocument/2006/relationships/hyperlink" Target="https://www.isscr.org/guidelines"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E9F39-552A-4BE8-894A-C8839298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3262</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Medical University of S. C.</Company>
  <LinksUpToDate>false</LinksUpToDate>
  <CharactersWithSpaces>21673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MUSC</dc:creator>
  <cp:lastModifiedBy>Smith, Michael Edwin</cp:lastModifiedBy>
  <cp:revision>3</cp:revision>
  <cp:lastPrinted>2019-11-07T11:19:00Z</cp:lastPrinted>
  <dcterms:created xsi:type="dcterms:W3CDTF">2023-02-16T15:43:00Z</dcterms:created>
  <dcterms:modified xsi:type="dcterms:W3CDTF">2023-02-16T15:45:00Z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_NewReviewCycle">
    <vt:lpwstr/>
  </property>
</Properties>
</file>